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0B0" w:rsidRDefault="00F550B0" w:rsidP="00F609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результати роботи відділу ринкового та метрологічного нагляду</w:t>
      </w:r>
    </w:p>
    <w:p w:rsidR="00F550B0" w:rsidRDefault="00F550B0" w:rsidP="00F609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Херсонській області</w:t>
      </w:r>
    </w:p>
    <w:p w:rsidR="00F550B0" w:rsidRDefault="00F550B0" w:rsidP="00F609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  1 квартал 2017р.</w:t>
      </w:r>
      <w:r w:rsidRPr="00F550B0">
        <w:rPr>
          <w:sz w:val="28"/>
          <w:szCs w:val="28"/>
        </w:rPr>
        <w:t xml:space="preserve"> </w:t>
      </w:r>
    </w:p>
    <w:p w:rsidR="00F550B0" w:rsidRDefault="00F550B0" w:rsidP="00F60951">
      <w:pPr>
        <w:ind w:firstLine="567"/>
        <w:jc w:val="both"/>
        <w:rPr>
          <w:sz w:val="28"/>
          <w:szCs w:val="28"/>
          <w:lang w:val="uk-UA"/>
        </w:rPr>
      </w:pPr>
    </w:p>
    <w:p w:rsidR="00F60951" w:rsidRDefault="00F60951" w:rsidP="00F609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секторального плану державного ринкового нагляду на 2017 рік  та плану перевірок характеристик продукції у її розповсюджувачів з ринкового нагляду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квартал 2017 року  поточного року відділом ринкового та метрологічного нагляду Управління захисту споживачів Головного управління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Херсонській області було заплановано здійснити перевірки 19-ти суб’єктів господарювання, які  займаються розповсюдженням дитячих ігор та іграшок, ламп побутового використання (ламп розжарювання, люмінесцентних, газорозрядних ламп високої інтенсивності, </w:t>
      </w:r>
      <w:proofErr w:type="spellStart"/>
      <w:r>
        <w:rPr>
          <w:sz w:val="28"/>
          <w:szCs w:val="28"/>
          <w:lang w:val="uk-UA"/>
        </w:rPr>
        <w:t>світлодіодних</w:t>
      </w:r>
      <w:proofErr w:type="spellEnd"/>
      <w:r>
        <w:rPr>
          <w:sz w:val="28"/>
          <w:szCs w:val="28"/>
          <w:lang w:val="uk-UA"/>
        </w:rPr>
        <w:t xml:space="preserve"> ламп та </w:t>
      </w:r>
      <w:proofErr w:type="spellStart"/>
      <w:r>
        <w:rPr>
          <w:sz w:val="28"/>
          <w:szCs w:val="28"/>
          <w:lang w:val="uk-UA"/>
        </w:rPr>
        <w:t>світлодіодних</w:t>
      </w:r>
      <w:proofErr w:type="spellEnd"/>
      <w:r>
        <w:rPr>
          <w:sz w:val="28"/>
          <w:szCs w:val="28"/>
          <w:lang w:val="uk-UA"/>
        </w:rPr>
        <w:t xml:space="preserve"> модулів), електричного та електронного обладнання (кухонна техніка, техніка для використання в побуті), мийних засобів для прання або чищення, які містять поверхнево-активні речовини, будівельних матеріалів на відповідність вимогам Закону України «Про державний ринковий нагляд і контроль нехарчової продукції», Закону України «Про загальну безпечність нехарчової продукції» та технічних регламентів:</w:t>
      </w:r>
    </w:p>
    <w:p w:rsidR="00F60951" w:rsidRDefault="00F60951" w:rsidP="00F60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Технічний регламент енергетичного маркування електричних ламп та світильників, затверджений постановою Кабінету Міністрів України від 27.05.2015 року №340;</w:t>
      </w:r>
    </w:p>
    <w:p w:rsidR="00F60951" w:rsidRDefault="00F60951" w:rsidP="00F60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Технічний регламент безпечності іграшок, затверджений постановою Кабінету Міністрів України від 11.07.2013 року №515;</w:t>
      </w:r>
    </w:p>
    <w:p w:rsidR="00F60951" w:rsidRDefault="00F60951" w:rsidP="00F60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Технічний регламент максимально дозволеного споживання електроенергії холодильними приладами, затверджений постановою Кабінету Міністрів України від 03.09.2008 року №787;</w:t>
      </w:r>
    </w:p>
    <w:p w:rsidR="00F60951" w:rsidRDefault="00F60951" w:rsidP="00F60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Технічний регламент обмеження використання деяких небезпечних речовин в електричному та електронному обладнанні, затверджений постановою Кабінету Міністрів України від 03.12.2008 року №1057;</w:t>
      </w:r>
    </w:p>
    <w:p w:rsidR="00F60951" w:rsidRDefault="00F60951" w:rsidP="00F60951">
      <w:pPr>
        <w:jc w:val="both"/>
        <w:rPr>
          <w:sz w:val="28"/>
          <w:szCs w:val="28"/>
          <w:lang w:val="uk-UA"/>
        </w:rPr>
      </w:pPr>
    </w:p>
    <w:p w:rsidR="00F60951" w:rsidRDefault="00F60951" w:rsidP="00F60951">
      <w:pPr>
        <w:jc w:val="both"/>
        <w:rPr>
          <w:sz w:val="28"/>
          <w:szCs w:val="28"/>
          <w:lang w:val="uk-UA"/>
        </w:rPr>
      </w:pPr>
    </w:p>
    <w:p w:rsidR="00F60951" w:rsidRDefault="00F60951" w:rsidP="00F60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Технічний регламент низьковольтного електричного обладнання,</w:t>
      </w:r>
      <w:r w:rsidRPr="000F2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затверджений постановою Кабінету Міністрів України від 16.12.2015 року №1067;</w:t>
      </w:r>
    </w:p>
    <w:p w:rsidR="00F60951" w:rsidRDefault="00F60951" w:rsidP="00F60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Технічний регламент з електричної сумісності обладнання,</w:t>
      </w:r>
      <w:r w:rsidRPr="000F2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затверджений постановою Кабінету Міністрів України від 16.12.2015 року №1077;</w:t>
      </w:r>
    </w:p>
    <w:p w:rsidR="00F60951" w:rsidRDefault="00F60951" w:rsidP="00F609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 Технічний  регламент мийних засобів,</w:t>
      </w:r>
      <w:r w:rsidRPr="000B1A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затверджений постановою Кабінету Міністрів України від 20.08.2008 року №717.</w:t>
      </w:r>
    </w:p>
    <w:p w:rsidR="00F60951" w:rsidRDefault="00F60951" w:rsidP="00F60951">
      <w:pPr>
        <w:ind w:hanging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Згідно з листом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України від 27.01.2017 року №603-157-11/1294 Головним управлінням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в Херсонській області призупинено проведення перевірок у сфері ринкового нагляду до отримання відповідних роз’яснень від Міністерства економічного розвитку і торгівлі України та Міністерства юстиції України з 27.01.2017 року.</w:t>
      </w:r>
    </w:p>
    <w:p w:rsidR="00F60951" w:rsidRDefault="00F60951" w:rsidP="00F6095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Виходячи з вищевикладеного, спеціалістами відділу ринкового та метрологічного нагляду протягом кварталу було здійснено  3 виїзні перевірки характеристик продукції у суб’єктів господарювання,  з яких 2  планові перевірки (план роботи відділу ринкового та метрологічного нагляду Управління захисту споживачів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квартал 2017 року), 1 позапланова перевірка (лист </w:t>
      </w:r>
      <w:proofErr w:type="spellStart"/>
      <w:r>
        <w:rPr>
          <w:sz w:val="28"/>
          <w:szCs w:val="28"/>
          <w:lang w:val="uk-UA"/>
        </w:rPr>
        <w:t>Держпродспоживслужби</w:t>
      </w:r>
      <w:proofErr w:type="spellEnd"/>
      <w:r>
        <w:rPr>
          <w:sz w:val="28"/>
          <w:szCs w:val="28"/>
          <w:lang w:val="uk-UA"/>
        </w:rPr>
        <w:t xml:space="preserve"> України від 27.12. 2016 року № 603-151-11/28456).</w:t>
      </w:r>
    </w:p>
    <w:p w:rsidR="00F60951" w:rsidRPr="00FE4B59" w:rsidRDefault="00F60951" w:rsidP="00F60951">
      <w:pPr>
        <w:pStyle w:val="a3"/>
        <w:rPr>
          <w:sz w:val="24"/>
          <w:szCs w:val="24"/>
        </w:rPr>
      </w:pPr>
    </w:p>
    <w:p w:rsidR="001772FB" w:rsidRDefault="00F550B0"/>
    <w:sectPr w:rsidR="001772FB" w:rsidSect="00A07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951"/>
    <w:rsid w:val="00116580"/>
    <w:rsid w:val="001819B8"/>
    <w:rsid w:val="0066617F"/>
    <w:rsid w:val="00A07C38"/>
    <w:rsid w:val="00F550B0"/>
    <w:rsid w:val="00F60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0951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F60951"/>
    <w:rPr>
      <w:rFonts w:ascii="Times New Roman" w:eastAsia="Times New Roman" w:hAnsi="Times New Roman" w:cs="Times New Roman"/>
      <w:sz w:val="28"/>
      <w:szCs w:val="2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2017-06-14T13:56:00Z</dcterms:created>
  <dcterms:modified xsi:type="dcterms:W3CDTF">2017-06-14T14:00:00Z</dcterms:modified>
</cp:coreProperties>
</file>