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B15D37" w:rsidRPr="00D764DA" w:rsidTr="00C75D98">
        <w:tc>
          <w:tcPr>
            <w:tcW w:w="2955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45" w:type="pct"/>
            <w:hideMark/>
          </w:tcPr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C75D98" w:rsidRPr="00F70777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Головного управління Держпродспоживслужби </w:t>
            </w:r>
          </w:p>
          <w:p w:rsidR="00C75D98" w:rsidRPr="00F70777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0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</w:p>
          <w:p w:rsidR="00B15D37" w:rsidRPr="00D764DA" w:rsidRDefault="00C75D98" w:rsidP="00C75D98">
            <w:pPr>
              <w:spacing w:before="150" w:after="150" w:line="240" w:lineRule="auto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3109E8" w:rsidRPr="00310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10.09.2021</w:t>
            </w: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 </w:t>
            </w:r>
            <w:r w:rsidR="003109E8" w:rsidRPr="003109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Н/3350-21</w:t>
            </w:r>
          </w:p>
        </w:tc>
      </w:tr>
    </w:tbl>
    <w:p w:rsidR="00C75D98" w:rsidRPr="00F36893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-головного спеціаліста </w:t>
      </w:r>
      <w:r w:rsidR="00023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відділу правового забезпечення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Держпродспоживслужби в Херсонській області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71"/>
        <w:gridCol w:w="5669"/>
      </w:tblGrid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0237E0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E33" w:rsidRDefault="000237E0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Сприяє правильному застосуванню законодавства про працю, державну службу;</w:t>
            </w:r>
          </w:p>
          <w:p w:rsidR="000237E0" w:rsidRDefault="000237E0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сприяє своєчасному вжиттю заходів за запитами та відповідними документами інших правоохоронних і контролюючих органів;</w:t>
            </w:r>
          </w:p>
          <w:p w:rsidR="000237E0" w:rsidRDefault="000237E0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організовує і проводить роботу, пов’язану із підвищення рівня правових знань працівників Головного управління, відслідковує зміни законодавства, роз’яснює існуючу практику його застосування, дає консультації з правових питань;</w:t>
            </w:r>
          </w:p>
          <w:p w:rsidR="000237E0" w:rsidRDefault="000237E0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здійснює  в Головному управлінні проведення семінарів з правових питань;</w:t>
            </w:r>
          </w:p>
          <w:p w:rsidR="000237E0" w:rsidRDefault="000237E0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представляє в установленому порядку інтереси Головного управління в судах різних інста</w:t>
            </w:r>
            <w:r w:rsidR="000A08E7">
              <w:rPr>
                <w:lang w:val="uk-UA" w:eastAsia="ru-RU"/>
              </w:rPr>
              <w:t>н</w:t>
            </w:r>
            <w:r>
              <w:rPr>
                <w:lang w:val="uk-UA" w:eastAsia="ru-RU"/>
              </w:rPr>
              <w:t>цій</w:t>
            </w:r>
            <w:r w:rsidR="000A08E7">
              <w:rPr>
                <w:lang w:val="uk-UA" w:eastAsia="ru-RU"/>
              </w:rPr>
              <w:t>;</w:t>
            </w:r>
          </w:p>
          <w:p w:rsidR="000A08E7" w:rsidRDefault="000A08E7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перевіряє відповідність законодавству проектів наказів, інших актів, що надаються на підпис керівника Головного управління;</w:t>
            </w:r>
          </w:p>
          <w:p w:rsidR="000A08E7" w:rsidRDefault="000A08E7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розглядає звернення громадян, надає методичну допомогу самостійним структурним підрозділам Головного управління;</w:t>
            </w:r>
          </w:p>
          <w:p w:rsidR="000A08E7" w:rsidRDefault="000A08E7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здійснює роботу із документами у відповідності із чинним законодавством;</w:t>
            </w:r>
          </w:p>
          <w:p w:rsidR="000A08E7" w:rsidRDefault="000A08E7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бере участь у розробленні проектів розпорядчих документів та листів Головного управління;</w:t>
            </w:r>
          </w:p>
          <w:p w:rsidR="000A08E7" w:rsidRDefault="000A08E7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здійснює реалізацію розпорядчих документів, що стосуються компетенції Відділу правового забезпечення;</w:t>
            </w:r>
          </w:p>
          <w:p w:rsidR="000A08E7" w:rsidRDefault="000A08E7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бере участь у розгляді висновків щодо правових питань, які виникають у діяльності Головного управління, у розробці пропозицій щодо вдосконалення їх діяльності;</w:t>
            </w:r>
          </w:p>
          <w:p w:rsidR="000A08E7" w:rsidRPr="00264BB8" w:rsidRDefault="000A08E7" w:rsidP="00D66955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right="140" w:firstLine="284"/>
              <w:rPr>
                <w:lang w:val="uk-UA" w:eastAsia="ru-RU"/>
              </w:rPr>
            </w:pPr>
            <w:r>
              <w:rPr>
                <w:lang w:val="uk-UA" w:eastAsia="ru-RU"/>
              </w:rPr>
              <w:t>виконує інші доручення начальника відділу правового забезпечення.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A46" w:rsidRPr="00D764DA" w:rsidRDefault="00220A46" w:rsidP="00220A46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220A46" w:rsidRDefault="00220A46" w:rsidP="00220A46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адбавк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и, доплати, премії та компенсації відповідно до статті 52 Закону України «Про державну службу»</w:t>
            </w:r>
            <w:r w:rsidR="00310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bookmarkStart w:id="3" w:name="_GoBack"/>
            <w:bookmarkEnd w:id="3"/>
          </w:p>
          <w:p w:rsidR="00B15D37" w:rsidRPr="00D764DA" w:rsidRDefault="00220A46" w:rsidP="00220A46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Надбавка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посадового окладу за ранг державного службовця відповідно до постанови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Кабінету Міністрів України від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Pr="00D764DA" w:rsidRDefault="00745C5D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0D58" w:rsidRPr="00D764DA" w:rsidRDefault="00E40D58" w:rsidP="00E40D5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E40D58" w:rsidRPr="00D764DA" w:rsidRDefault="00E40D58" w:rsidP="00E40D5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E40D58" w:rsidRPr="00D764DA" w:rsidRDefault="00E40D58" w:rsidP="00E40D5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E40D58" w:rsidRPr="00D764DA" w:rsidRDefault="00E40D58" w:rsidP="00E40D5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E40D58" w:rsidRPr="00D764DA" w:rsidRDefault="00E40D58" w:rsidP="00E40D58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40D58" w:rsidRDefault="00E40D58" w:rsidP="00E40D58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40D58" w:rsidRDefault="00E40D58" w:rsidP="00E40D58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40D58" w:rsidRPr="00834F20" w:rsidRDefault="00E40D58" w:rsidP="00E40D58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BD0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15D37" w:rsidRPr="00D764DA" w:rsidRDefault="00E40D58" w:rsidP="00E40D58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0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8B07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0A0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Pr="00204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22286">
        <w:trPr>
          <w:trHeight w:val="2434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B15D37" w:rsidRDefault="001019BF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40D58" w:rsidRPr="00D764DA" w:rsidRDefault="00E40D58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0A08E7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335F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жовтня</w:t>
            </w:r>
            <w:r w:rsidR="00335F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04B25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40D58" w:rsidRPr="00D764DA" w:rsidRDefault="00E40D58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1774BD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1774BD" w:rsidRDefault="001774BD" w:rsidP="0071138A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Ступень вищої освіти</w:t>
            </w:r>
            <w:r w:rsidRPr="002C51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32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нижче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ступеня молодшого бакалавра або 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галузі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13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юридичного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спрямування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C75D98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71138A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3109E8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3B1BD6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4F1008">
              <w:rPr>
                <w:lang w:val="uk-UA"/>
              </w:rPr>
              <w:t>.</w:t>
            </w:r>
          </w:p>
        </w:tc>
      </w:tr>
      <w:tr w:rsidR="00925D97" w:rsidRPr="00D764DA" w:rsidTr="00D22286">
        <w:trPr>
          <w:trHeight w:val="987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925D97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>
              <w:rPr>
                <w:lang w:val="uk-UA"/>
              </w:rPr>
              <w:lastRenderedPageBreak/>
              <w:t>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  <w:r w:rsidR="004F1008">
              <w:rPr>
                <w:lang w:val="uk-UA"/>
              </w:rPr>
              <w:t>.</w:t>
            </w:r>
          </w:p>
        </w:tc>
      </w:tr>
      <w:tr w:rsidR="001774BD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A3522B" w:rsidRDefault="001774BD" w:rsidP="002C1A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1774BD" w:rsidRPr="00F659E5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публічно виступати перед аудиторією;</w:t>
            </w:r>
          </w:p>
          <w:p w:rsidR="001774BD" w:rsidRPr="00036BD6" w:rsidRDefault="001774BD" w:rsidP="002C1A2F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переконувати інших за допомогою аргументів та послідовної комунікації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774BD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77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1774BD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1774BD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1774BD" w:rsidRPr="00A3522B" w:rsidRDefault="001774BD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  <w:r w:rsidR="004F1008">
              <w:rPr>
                <w:lang w:val="uk-UA"/>
              </w:rPr>
              <w:t>.</w:t>
            </w:r>
          </w:p>
        </w:tc>
      </w:tr>
      <w:tr w:rsidR="00AF7793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793" w:rsidRDefault="001019BF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793" w:rsidRPr="002C5123" w:rsidRDefault="00AF7793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A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0D5" w:rsidRPr="00A02AFC" w:rsidRDefault="00CF60D5" w:rsidP="0010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 w:line="240" w:lineRule="auto"/>
              <w:ind w:left="149" w:right="125"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здатність встановлювати логічні взаємозв’язки;</w:t>
            </w:r>
          </w:p>
          <w:p w:rsidR="00CF60D5" w:rsidRPr="00A02AFC" w:rsidRDefault="00CF60D5" w:rsidP="00101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 w:line="240" w:lineRule="auto"/>
              <w:ind w:left="149" w:right="125" w:firstLine="27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02AF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вміння систематизувати великий масив інформації;</w:t>
            </w:r>
          </w:p>
          <w:p w:rsidR="00AF7793" w:rsidRDefault="00CF60D5" w:rsidP="001019BF">
            <w:pPr>
              <w:pStyle w:val="a3"/>
              <w:widowControl/>
              <w:tabs>
                <w:tab w:val="left" w:pos="144"/>
              </w:tabs>
              <w:autoSpaceDE/>
              <w:autoSpaceDN/>
              <w:adjustRightInd/>
              <w:ind w:left="144" w:right="130" w:firstLine="279"/>
              <w:contextualSpacing/>
              <w:jc w:val="both"/>
              <w:rPr>
                <w:lang w:val="uk-UA"/>
              </w:rPr>
            </w:pPr>
            <w:r w:rsidRPr="00A02AFC">
              <w:rPr>
                <w:lang w:val="uk-UA"/>
              </w:rPr>
              <w:t>-</w:t>
            </w:r>
            <w:r w:rsidRPr="00A02AFC">
              <w:rPr>
                <w:lang w:val="uk-UA"/>
              </w:rPr>
              <w:tab/>
              <w:t xml:space="preserve"> здатність виділяти головне, робити чіткі, структуровані висновки</w:t>
            </w:r>
            <w:r w:rsidR="004F1008">
              <w:rPr>
                <w:lang w:val="uk-UA"/>
              </w:rPr>
              <w:t>.</w:t>
            </w:r>
          </w:p>
        </w:tc>
      </w:tr>
      <w:tr w:rsidR="001774BD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956DB2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1774BD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774BD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Pr="00D764DA" w:rsidRDefault="001774BD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74BD" w:rsidRDefault="001774BD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774BD" w:rsidRDefault="003109E8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1774BD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1774BD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1774BD" w:rsidRDefault="003109E8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1774BD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1774BD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1774BD" w:rsidRPr="006B68C5" w:rsidRDefault="001774BD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  <w:r w:rsidR="004F1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774BD" w:rsidRPr="000237E0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D764DA" w:rsidRDefault="001774BD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1774BD" w:rsidP="00180F8F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BD" w:rsidRPr="00A3522B" w:rsidRDefault="009B1AC2" w:rsidP="001019BF">
            <w:pPr>
              <w:spacing w:after="0" w:line="240" w:lineRule="auto"/>
              <w:ind w:left="14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в галузі господарського, цивільного, адміністративного процесу, ветеринарної медицини та харчових продуктів , санітарного законодавства</w:t>
            </w:r>
            <w:r w:rsidR="00B47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тощо. Уміння застосовувати норми законодавства на практиці.</w:t>
            </w:r>
          </w:p>
        </w:tc>
      </w:tr>
    </w:tbl>
    <w:p w:rsidR="00615C1D" w:rsidRPr="00D764DA" w:rsidRDefault="003109E8">
      <w:pPr>
        <w:rPr>
          <w:lang w:val="uk-UA"/>
        </w:rPr>
      </w:pPr>
      <w:bookmarkStart w:id="4" w:name="n767"/>
      <w:bookmarkEnd w:id="4"/>
    </w:p>
    <w:sectPr w:rsidR="00615C1D" w:rsidRPr="00D764DA" w:rsidSect="001019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0EF"/>
    <w:multiLevelType w:val="hybridMultilevel"/>
    <w:tmpl w:val="73727224"/>
    <w:lvl w:ilvl="0" w:tplc="1BAAD1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237E0"/>
    <w:rsid w:val="00074855"/>
    <w:rsid w:val="000A08E7"/>
    <w:rsid w:val="001009E5"/>
    <w:rsid w:val="001019BF"/>
    <w:rsid w:val="00124B8D"/>
    <w:rsid w:val="001774BD"/>
    <w:rsid w:val="00180F8F"/>
    <w:rsid w:val="001C5122"/>
    <w:rsid w:val="001E032F"/>
    <w:rsid w:val="001E6DC3"/>
    <w:rsid w:val="0022057D"/>
    <w:rsid w:val="00220A46"/>
    <w:rsid w:val="00242241"/>
    <w:rsid w:val="002643CF"/>
    <w:rsid w:val="00264BB8"/>
    <w:rsid w:val="002B6D79"/>
    <w:rsid w:val="002C5123"/>
    <w:rsid w:val="002D2670"/>
    <w:rsid w:val="003109E8"/>
    <w:rsid w:val="00335FDF"/>
    <w:rsid w:val="003363D5"/>
    <w:rsid w:val="003400BA"/>
    <w:rsid w:val="003C7101"/>
    <w:rsid w:val="004127D6"/>
    <w:rsid w:val="004F1008"/>
    <w:rsid w:val="005024AD"/>
    <w:rsid w:val="0052006C"/>
    <w:rsid w:val="00571112"/>
    <w:rsid w:val="005F65BB"/>
    <w:rsid w:val="00604B25"/>
    <w:rsid w:val="00670616"/>
    <w:rsid w:val="00675958"/>
    <w:rsid w:val="00687A75"/>
    <w:rsid w:val="006912E3"/>
    <w:rsid w:val="006B60FA"/>
    <w:rsid w:val="006B68C5"/>
    <w:rsid w:val="0071138A"/>
    <w:rsid w:val="00745C5D"/>
    <w:rsid w:val="00862550"/>
    <w:rsid w:val="0088100E"/>
    <w:rsid w:val="008B0746"/>
    <w:rsid w:val="009171FE"/>
    <w:rsid w:val="00925D97"/>
    <w:rsid w:val="009311C9"/>
    <w:rsid w:val="00956DB2"/>
    <w:rsid w:val="009B1AC2"/>
    <w:rsid w:val="009C1584"/>
    <w:rsid w:val="00A3522B"/>
    <w:rsid w:val="00A96562"/>
    <w:rsid w:val="00AB07DC"/>
    <w:rsid w:val="00AF7793"/>
    <w:rsid w:val="00B02AE1"/>
    <w:rsid w:val="00B15D37"/>
    <w:rsid w:val="00B471E1"/>
    <w:rsid w:val="00B90E33"/>
    <w:rsid w:val="00BD0377"/>
    <w:rsid w:val="00BE6BCA"/>
    <w:rsid w:val="00C415C6"/>
    <w:rsid w:val="00C75D98"/>
    <w:rsid w:val="00CB0CDB"/>
    <w:rsid w:val="00CB0CDE"/>
    <w:rsid w:val="00CD39CD"/>
    <w:rsid w:val="00CF60D5"/>
    <w:rsid w:val="00D0377C"/>
    <w:rsid w:val="00D127F3"/>
    <w:rsid w:val="00D22286"/>
    <w:rsid w:val="00D47148"/>
    <w:rsid w:val="00D66955"/>
    <w:rsid w:val="00D764DA"/>
    <w:rsid w:val="00DC02F6"/>
    <w:rsid w:val="00DC08E5"/>
    <w:rsid w:val="00E20F04"/>
    <w:rsid w:val="00E34B90"/>
    <w:rsid w:val="00E40D58"/>
    <w:rsid w:val="00E6604B"/>
    <w:rsid w:val="00EB41D3"/>
    <w:rsid w:val="00ED29BA"/>
    <w:rsid w:val="00F01073"/>
    <w:rsid w:val="00F36893"/>
    <w:rsid w:val="00F70777"/>
    <w:rsid w:val="00F762BE"/>
    <w:rsid w:val="00FA1599"/>
    <w:rsid w:val="00FA26D2"/>
    <w:rsid w:val="00FA7679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452B"/>
  <w15:docId w15:val="{F9502A63-8880-4F2E-938A-ADBAD28A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FA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CF60D5"/>
    <w:pPr>
      <w:widowControl w:val="0"/>
      <w:autoSpaceDE w:val="0"/>
      <w:autoSpaceDN w:val="0"/>
      <w:adjustRightInd w:val="0"/>
      <w:spacing w:after="0" w:line="305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12</cp:revision>
  <cp:lastPrinted>2021-09-13T05:43:00Z</cp:lastPrinted>
  <dcterms:created xsi:type="dcterms:W3CDTF">2021-09-10T06:11:00Z</dcterms:created>
  <dcterms:modified xsi:type="dcterms:W3CDTF">2021-09-13T06:55:00Z</dcterms:modified>
</cp:coreProperties>
</file>