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80" w:rsidRPr="003B063E" w:rsidRDefault="000F5D80" w:rsidP="000F5D80">
      <w:pPr>
        <w:pStyle w:val="Standard"/>
        <w:shd w:val="clear" w:color="auto" w:fill="FFFFFF"/>
        <w:suppressAutoHyphens w:val="0"/>
        <w:spacing w:line="309" w:lineRule="atLeast"/>
        <w:jc w:val="center"/>
        <w:outlineLvl w:val="1"/>
        <w:rPr>
          <w:b/>
          <w:spacing w:val="12"/>
          <w:sz w:val="32"/>
          <w:szCs w:val="32"/>
          <w:u w:val="single"/>
          <w:lang w:val="uk-UA" w:eastAsia="ru-RU"/>
        </w:rPr>
      </w:pPr>
      <w:bookmarkStart w:id="0" w:name="_GoBack"/>
      <w:bookmarkEnd w:id="0"/>
      <w:r w:rsidRPr="003B063E">
        <w:rPr>
          <w:b/>
          <w:spacing w:val="12"/>
          <w:sz w:val="32"/>
          <w:szCs w:val="32"/>
          <w:u w:val="single"/>
          <w:lang w:val="uk-UA" w:eastAsia="ru-RU"/>
        </w:rPr>
        <w:t>До уваги суб’єктів господарювання!</w:t>
      </w:r>
    </w:p>
    <w:p w:rsidR="000F5D80" w:rsidRDefault="000F5D80" w:rsidP="000F5D80">
      <w:pPr>
        <w:pStyle w:val="Standard"/>
        <w:tabs>
          <w:tab w:val="left" w:pos="2040"/>
        </w:tabs>
        <w:rPr>
          <w:sz w:val="28"/>
          <w:szCs w:val="28"/>
          <w:lang w:val="uk-UA"/>
        </w:rPr>
      </w:pPr>
    </w:p>
    <w:p w:rsidR="000F5D80" w:rsidRDefault="000F5D80" w:rsidP="000F5D80">
      <w:pPr>
        <w:pStyle w:val="Standard"/>
        <w:ind w:firstLine="709"/>
        <w:jc w:val="both"/>
        <w:rPr>
          <w:color w:val="000000"/>
          <w:sz w:val="28"/>
          <w:szCs w:val="28"/>
          <w:lang w:val="uk-UA"/>
        </w:rPr>
      </w:pPr>
      <w:bookmarkStart w:id="1" w:name="_Hlk499030266"/>
      <w:r w:rsidRPr="003B063E">
        <w:rPr>
          <w:sz w:val="28"/>
          <w:szCs w:val="28"/>
          <w:lang w:val="uk-UA"/>
        </w:rPr>
        <w:t xml:space="preserve">Головне управління </w:t>
      </w:r>
      <w:proofErr w:type="spellStart"/>
      <w:r w:rsidRPr="003B063E">
        <w:rPr>
          <w:sz w:val="28"/>
          <w:szCs w:val="28"/>
          <w:lang w:val="uk-UA"/>
        </w:rPr>
        <w:t>Держпродспоживслужби</w:t>
      </w:r>
      <w:proofErr w:type="spellEnd"/>
      <w:r w:rsidRPr="003B06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         </w:t>
      </w:r>
      <w:r w:rsidRPr="003B063E">
        <w:rPr>
          <w:sz w:val="28"/>
          <w:szCs w:val="28"/>
          <w:lang w:val="uk-UA"/>
        </w:rPr>
        <w:t xml:space="preserve">в Херсонській області інформує, відповідно до п. 16 Правил роздрібної торгівлі непродовольчими товарами, затвердженими наказом </w:t>
      </w:r>
      <w:r>
        <w:rPr>
          <w:sz w:val="28"/>
          <w:szCs w:val="28"/>
          <w:lang w:val="uk-UA"/>
        </w:rPr>
        <w:t xml:space="preserve">Міністерства економіки України </w:t>
      </w:r>
      <w:r w:rsidRPr="003B063E">
        <w:rPr>
          <w:sz w:val="28"/>
          <w:szCs w:val="28"/>
          <w:lang w:val="uk-UA"/>
        </w:rPr>
        <w:t xml:space="preserve"> від 19.04.2007 № 104: «</w:t>
      </w:r>
      <w:r w:rsidRPr="003B063E">
        <w:rPr>
          <w:color w:val="000000"/>
          <w:sz w:val="28"/>
          <w:szCs w:val="28"/>
          <w:lang w:val="uk-UA"/>
        </w:rPr>
        <w:t>Під час продажу непродовольчих товарів вітчизня</w:t>
      </w:r>
      <w:r>
        <w:rPr>
          <w:color w:val="000000"/>
          <w:sz w:val="28"/>
          <w:szCs w:val="28"/>
          <w:lang w:val="uk-UA"/>
        </w:rPr>
        <w:t xml:space="preserve">ного </w:t>
      </w:r>
      <w:r w:rsidRPr="003B063E">
        <w:rPr>
          <w:color w:val="000000"/>
          <w:sz w:val="28"/>
          <w:szCs w:val="28"/>
          <w:lang w:val="uk-UA"/>
        </w:rPr>
        <w:t>та іноземного виробництва працівники суб’єкта господарювання зобов’язані надати споживачам необхідну, доступну, достовірну та своєчасну інформацію в супровідній документації, що додається до продукції,</w:t>
      </w:r>
      <w:r w:rsidR="00AF2AA7">
        <w:rPr>
          <w:color w:val="000000"/>
          <w:sz w:val="28"/>
          <w:szCs w:val="28"/>
          <w:lang w:val="uk-UA"/>
        </w:rPr>
        <w:t xml:space="preserve"> </w:t>
      </w:r>
      <w:r w:rsidRPr="003B063E">
        <w:rPr>
          <w:color w:val="000000"/>
          <w:sz w:val="28"/>
          <w:szCs w:val="28"/>
          <w:lang w:val="uk-UA"/>
        </w:rPr>
        <w:t>на етикетці, а також у маркуванні чи іншим способом (у доступній наочній формі)».</w:t>
      </w:r>
    </w:p>
    <w:p w:rsidR="000F5D80" w:rsidRPr="003B063E" w:rsidRDefault="000F5D80" w:rsidP="000F5D80">
      <w:pPr>
        <w:pStyle w:val="Standard"/>
        <w:ind w:firstLine="709"/>
        <w:jc w:val="both"/>
        <w:rPr>
          <w:sz w:val="28"/>
          <w:szCs w:val="28"/>
          <w:lang w:val="uk-UA"/>
        </w:rPr>
      </w:pPr>
    </w:p>
    <w:p w:rsidR="000F5D80" w:rsidRDefault="000F5D80" w:rsidP="000F5D80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  <w:r w:rsidRPr="003B063E">
        <w:rPr>
          <w:sz w:val="28"/>
          <w:szCs w:val="28"/>
          <w:lang w:val="uk-UA"/>
        </w:rPr>
        <w:t>Вимоги чинного законодавства та практичні рекомендації і</w:t>
      </w:r>
      <w:r>
        <w:rPr>
          <w:sz w:val="28"/>
          <w:szCs w:val="28"/>
          <w:lang w:val="uk-UA"/>
        </w:rPr>
        <w:t xml:space="preserve">з зазначеного питання наведені </w:t>
      </w:r>
      <w:r w:rsidRPr="003B063E">
        <w:rPr>
          <w:sz w:val="28"/>
          <w:szCs w:val="28"/>
          <w:lang w:val="uk-UA"/>
        </w:rPr>
        <w:t xml:space="preserve"> у Додатку 1.</w:t>
      </w:r>
    </w:p>
    <w:p w:rsidR="000F5D80" w:rsidRPr="003B063E" w:rsidRDefault="000F5D80" w:rsidP="000F5D80">
      <w:pPr>
        <w:pStyle w:val="Standard"/>
        <w:tabs>
          <w:tab w:val="left" w:pos="851"/>
          <w:tab w:val="left" w:pos="2040"/>
        </w:tabs>
        <w:ind w:firstLine="709"/>
        <w:jc w:val="both"/>
        <w:rPr>
          <w:sz w:val="28"/>
          <w:szCs w:val="28"/>
          <w:lang w:val="uk-UA"/>
        </w:rPr>
      </w:pPr>
    </w:p>
    <w:p w:rsidR="000F5D80" w:rsidRPr="00B119B7" w:rsidRDefault="000F5D80" w:rsidP="00B119B7">
      <w:pPr>
        <w:pStyle w:val="a7"/>
        <w:shd w:val="clear" w:color="auto" w:fill="FFFFFF"/>
        <w:ind w:firstLine="709"/>
        <w:jc w:val="both"/>
        <w:rPr>
          <w:b/>
          <w:i/>
          <w:sz w:val="28"/>
          <w:szCs w:val="28"/>
          <w:u w:val="single"/>
          <w:lang w:val="uk-UA"/>
        </w:rPr>
      </w:pPr>
      <w:r w:rsidRPr="00AC5D5E">
        <w:rPr>
          <w:b/>
          <w:i/>
          <w:sz w:val="28"/>
          <w:szCs w:val="28"/>
          <w:u w:val="single"/>
          <w:lang w:val="uk-UA"/>
        </w:rPr>
        <w:t>Для довідок:</w:t>
      </w:r>
      <w:r w:rsidRPr="00AC5D5E">
        <w:rPr>
          <w:b/>
          <w:i/>
          <w:sz w:val="28"/>
          <w:szCs w:val="28"/>
          <w:u w:val="single"/>
        </w:rPr>
        <w:t xml:space="preserve"> Головне </w:t>
      </w:r>
      <w:proofErr w:type="spellStart"/>
      <w:r w:rsidRPr="00AC5D5E">
        <w:rPr>
          <w:b/>
          <w:i/>
          <w:sz w:val="28"/>
          <w:szCs w:val="28"/>
          <w:u w:val="single"/>
        </w:rPr>
        <w:t>управління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Держпродспоживслужби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 xml:space="preserve">в </w:t>
      </w:r>
      <w:proofErr w:type="spellStart"/>
      <w:r w:rsidRPr="00AC5D5E">
        <w:rPr>
          <w:b/>
          <w:i/>
          <w:sz w:val="28"/>
          <w:szCs w:val="28"/>
          <w:u w:val="single"/>
        </w:rPr>
        <w:t>Херсонській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області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, </w:t>
      </w:r>
      <w:r w:rsidR="009A43F3">
        <w:rPr>
          <w:b/>
          <w:i/>
          <w:sz w:val="28"/>
          <w:szCs w:val="28"/>
          <w:u w:val="single"/>
          <w:lang w:val="uk-UA"/>
        </w:rPr>
        <w:t xml:space="preserve">                   </w:t>
      </w:r>
      <w:r w:rsidRPr="00AC5D5E">
        <w:rPr>
          <w:b/>
          <w:i/>
          <w:sz w:val="28"/>
          <w:szCs w:val="28"/>
          <w:u w:val="single"/>
        </w:rPr>
        <w:t xml:space="preserve"> 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>.</w:t>
      </w:r>
      <w:r w:rsidR="00B119B7">
        <w:rPr>
          <w:b/>
          <w:i/>
          <w:sz w:val="28"/>
          <w:szCs w:val="28"/>
          <w:u w:val="single"/>
          <w:lang w:val="uk-UA"/>
        </w:rPr>
        <w:t xml:space="preserve"> </w:t>
      </w:r>
      <w:proofErr w:type="spellStart"/>
      <w:r w:rsidRPr="00AC5D5E">
        <w:rPr>
          <w:b/>
          <w:i/>
          <w:sz w:val="28"/>
          <w:szCs w:val="28"/>
          <w:u w:val="single"/>
        </w:rPr>
        <w:t>Пе</w:t>
      </w:r>
      <w:r w:rsidR="00B119B7">
        <w:rPr>
          <w:b/>
          <w:i/>
          <w:sz w:val="28"/>
          <w:szCs w:val="28"/>
          <w:u w:val="single"/>
        </w:rPr>
        <w:t>рекопська</w:t>
      </w:r>
      <w:proofErr w:type="spellEnd"/>
      <w:r w:rsidR="00B119B7">
        <w:rPr>
          <w:b/>
          <w:i/>
          <w:sz w:val="28"/>
          <w:szCs w:val="28"/>
          <w:u w:val="single"/>
        </w:rPr>
        <w:t>, буд. 17, тел. (0552)32-17-36, (0552)</w:t>
      </w:r>
      <w:r w:rsidRPr="00AC5D5E">
        <w:rPr>
          <w:b/>
          <w:i/>
          <w:sz w:val="28"/>
          <w:szCs w:val="28"/>
          <w:u w:val="single"/>
        </w:rPr>
        <w:t>26-26-43</w:t>
      </w:r>
      <w:r w:rsidRPr="00AC5D5E">
        <w:rPr>
          <w:b/>
          <w:i/>
          <w:sz w:val="28"/>
          <w:szCs w:val="28"/>
          <w:u w:val="single"/>
          <w:lang w:val="uk-UA"/>
        </w:rPr>
        <w:t>;</w:t>
      </w:r>
      <w:r w:rsidRPr="00AC5D5E">
        <w:rPr>
          <w:b/>
          <w:i/>
          <w:sz w:val="28"/>
          <w:szCs w:val="28"/>
          <w:u w:val="single"/>
        </w:rPr>
        <w:t xml:space="preserve"> </w:t>
      </w:r>
      <w:r w:rsidRPr="00AC5D5E">
        <w:rPr>
          <w:rStyle w:val="a6"/>
          <w:b/>
          <w:bCs/>
          <w:sz w:val="28"/>
          <w:szCs w:val="28"/>
          <w:u w:val="single"/>
          <w:lang w:val="uk-UA"/>
        </w:rPr>
        <w:t xml:space="preserve">Управління захисту </w:t>
      </w:r>
      <w:proofErr w:type="gramStart"/>
      <w:r w:rsidRPr="00AC5D5E">
        <w:rPr>
          <w:rStyle w:val="a6"/>
          <w:b/>
          <w:bCs/>
          <w:sz w:val="28"/>
          <w:szCs w:val="28"/>
          <w:u w:val="single"/>
          <w:lang w:val="uk-UA"/>
        </w:rPr>
        <w:t>споживачів</w:t>
      </w:r>
      <w:r w:rsidRPr="00AC5D5E">
        <w:rPr>
          <w:b/>
          <w:i/>
          <w:sz w:val="28"/>
          <w:szCs w:val="28"/>
          <w:u w:val="single"/>
        </w:rPr>
        <w:t>: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="009A43F3">
        <w:rPr>
          <w:b/>
          <w:i/>
          <w:sz w:val="28"/>
          <w:szCs w:val="28"/>
          <w:u w:val="single"/>
          <w:lang w:val="uk-UA"/>
        </w:rPr>
        <w:t xml:space="preserve">  </w:t>
      </w:r>
      <w:proofErr w:type="gramEnd"/>
      <w:r w:rsidR="009A43F3">
        <w:rPr>
          <w:b/>
          <w:i/>
          <w:sz w:val="28"/>
          <w:szCs w:val="28"/>
          <w:u w:val="single"/>
          <w:lang w:val="uk-UA"/>
        </w:rPr>
        <w:t xml:space="preserve">                 </w:t>
      </w:r>
      <w:r w:rsidRPr="00AC5D5E">
        <w:rPr>
          <w:b/>
          <w:i/>
          <w:sz w:val="28"/>
          <w:szCs w:val="28"/>
          <w:u w:val="single"/>
        </w:rPr>
        <w:t xml:space="preserve">м. Херсон, </w:t>
      </w:r>
      <w:proofErr w:type="spellStart"/>
      <w:r w:rsidRPr="00AC5D5E">
        <w:rPr>
          <w:b/>
          <w:i/>
          <w:sz w:val="28"/>
          <w:szCs w:val="28"/>
          <w:u w:val="single"/>
        </w:rPr>
        <w:t>вул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. </w:t>
      </w:r>
      <w:proofErr w:type="spellStart"/>
      <w:r w:rsidRPr="00AC5D5E">
        <w:rPr>
          <w:b/>
          <w:i/>
          <w:sz w:val="28"/>
          <w:szCs w:val="28"/>
          <w:u w:val="single"/>
        </w:rPr>
        <w:t>Старообрядницька</w:t>
      </w:r>
      <w:proofErr w:type="spellEnd"/>
      <w:r w:rsidRPr="00AC5D5E">
        <w:rPr>
          <w:b/>
          <w:i/>
          <w:sz w:val="28"/>
          <w:szCs w:val="28"/>
          <w:u w:val="single"/>
        </w:rPr>
        <w:t xml:space="preserve"> (</w:t>
      </w:r>
      <w:proofErr w:type="spellStart"/>
      <w:r w:rsidRPr="00AC5D5E">
        <w:rPr>
          <w:b/>
          <w:i/>
          <w:sz w:val="28"/>
          <w:szCs w:val="28"/>
          <w:u w:val="single"/>
        </w:rPr>
        <w:t>Комсомольська</w:t>
      </w:r>
      <w:proofErr w:type="spellEnd"/>
      <w:r w:rsidRPr="00AC5D5E">
        <w:rPr>
          <w:b/>
          <w:i/>
          <w:sz w:val="28"/>
          <w:szCs w:val="28"/>
          <w:u w:val="single"/>
        </w:rPr>
        <w:t>), 34, тел.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>(0552)</w:t>
      </w:r>
      <w:r w:rsidRPr="00AC5D5E">
        <w:rPr>
          <w:b/>
          <w:i/>
          <w:sz w:val="28"/>
          <w:szCs w:val="28"/>
          <w:u w:val="single"/>
          <w:lang w:val="uk-UA"/>
        </w:rPr>
        <w:t xml:space="preserve"> </w:t>
      </w:r>
      <w:r w:rsidRPr="00AC5D5E">
        <w:rPr>
          <w:b/>
          <w:i/>
          <w:sz w:val="28"/>
          <w:szCs w:val="28"/>
          <w:u w:val="single"/>
        </w:rPr>
        <w:t>26-36-06</w:t>
      </w:r>
      <w:r w:rsidRPr="00AC5D5E">
        <w:rPr>
          <w:b/>
          <w:i/>
          <w:sz w:val="28"/>
          <w:szCs w:val="28"/>
          <w:u w:val="single"/>
          <w:lang w:val="uk-UA"/>
        </w:rPr>
        <w:t>,</w:t>
      </w:r>
      <w:r w:rsidRPr="00AC5D5E">
        <w:rPr>
          <w:b/>
          <w:i/>
          <w:sz w:val="28"/>
          <w:szCs w:val="28"/>
          <w:u w:val="single"/>
        </w:rPr>
        <w:t xml:space="preserve"> 0913319890.</w:t>
      </w:r>
    </w:p>
    <w:p w:rsidR="000F5D80" w:rsidRPr="003B063E" w:rsidRDefault="000F5D80" w:rsidP="009A43F3">
      <w:pPr>
        <w:pStyle w:val="a7"/>
        <w:shd w:val="clear" w:color="auto" w:fill="FFFFFF"/>
        <w:ind w:firstLine="709"/>
        <w:jc w:val="both"/>
        <w:rPr>
          <w:i/>
          <w:sz w:val="28"/>
          <w:szCs w:val="28"/>
          <w:u w:val="single"/>
          <w:lang w:val="uk-UA"/>
        </w:rPr>
      </w:pPr>
    </w:p>
    <w:p w:rsidR="000F5D80" w:rsidRPr="003B063E" w:rsidRDefault="000F5D80" w:rsidP="000F5D80">
      <w:pPr>
        <w:pStyle w:val="a7"/>
        <w:shd w:val="clear" w:color="auto" w:fill="FFFFFF"/>
        <w:spacing w:before="0" w:after="0"/>
        <w:ind w:firstLine="709"/>
        <w:jc w:val="both"/>
      </w:pPr>
      <w:proofErr w:type="spellStart"/>
      <w:r w:rsidRPr="003B063E">
        <w:rPr>
          <w:sz w:val="28"/>
          <w:szCs w:val="28"/>
        </w:rPr>
        <w:t>Дякуємо</w:t>
      </w:r>
      <w:proofErr w:type="spellEnd"/>
      <w:r w:rsidRPr="003B063E">
        <w:rPr>
          <w:sz w:val="28"/>
          <w:szCs w:val="28"/>
        </w:rPr>
        <w:t xml:space="preserve"> за </w:t>
      </w:r>
      <w:proofErr w:type="spellStart"/>
      <w:r w:rsidRPr="003B063E">
        <w:rPr>
          <w:sz w:val="28"/>
          <w:szCs w:val="28"/>
        </w:rPr>
        <w:t>порозуміння</w:t>
      </w:r>
      <w:proofErr w:type="spellEnd"/>
      <w:r w:rsidRPr="003B063E">
        <w:rPr>
          <w:sz w:val="28"/>
          <w:szCs w:val="28"/>
        </w:rPr>
        <w:t xml:space="preserve"> та </w:t>
      </w:r>
      <w:proofErr w:type="spellStart"/>
      <w:r w:rsidRPr="003B063E">
        <w:rPr>
          <w:sz w:val="28"/>
          <w:szCs w:val="28"/>
        </w:rPr>
        <w:t>співпрацю</w:t>
      </w:r>
      <w:proofErr w:type="spellEnd"/>
      <w:r w:rsidRPr="003B063E">
        <w:rPr>
          <w:sz w:val="28"/>
          <w:szCs w:val="28"/>
        </w:rPr>
        <w:t>.</w:t>
      </w:r>
      <w:bookmarkEnd w:id="1"/>
    </w:p>
    <w:p w:rsidR="000F5D80" w:rsidRDefault="00152A55" w:rsidP="00456FDC">
      <w:pPr>
        <w:ind w:firstLine="709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</w:t>
      </w:r>
      <w:r w:rsidR="00456FDC">
        <w:rPr>
          <w:lang w:val="uk-UA"/>
        </w:rPr>
        <w:t xml:space="preserve">                               </w:t>
      </w:r>
    </w:p>
    <w:p w:rsidR="00AF2AA7" w:rsidRDefault="00AF2AA7" w:rsidP="00456FDC">
      <w:pPr>
        <w:ind w:firstLine="709"/>
        <w:jc w:val="both"/>
        <w:rPr>
          <w:lang w:val="uk-UA"/>
        </w:rPr>
      </w:pPr>
    </w:p>
    <w:p w:rsidR="00AF2AA7" w:rsidRDefault="00AF2AA7" w:rsidP="00456FDC">
      <w:pPr>
        <w:ind w:firstLine="709"/>
        <w:jc w:val="both"/>
        <w:rPr>
          <w:lang w:val="uk-UA"/>
        </w:rPr>
      </w:pPr>
    </w:p>
    <w:p w:rsidR="005D59B2" w:rsidRDefault="004D4F13" w:rsidP="000F5D80">
      <w:pPr>
        <w:ind w:firstLine="709"/>
        <w:jc w:val="right"/>
        <w:rPr>
          <w:lang w:val="uk-UA"/>
        </w:rPr>
      </w:pPr>
      <w:proofErr w:type="spellStart"/>
      <w:r w:rsidRPr="00591A06">
        <w:lastRenderedPageBreak/>
        <w:t>Додаток</w:t>
      </w:r>
      <w:proofErr w:type="spellEnd"/>
      <w:r w:rsidRPr="00591A06">
        <w:t xml:space="preserve"> 1</w:t>
      </w:r>
    </w:p>
    <w:p w:rsidR="005F76AE" w:rsidRPr="005F76AE" w:rsidRDefault="005F76AE" w:rsidP="00456FDC">
      <w:pPr>
        <w:ind w:firstLine="709"/>
        <w:jc w:val="both"/>
        <w:rPr>
          <w:lang w:val="uk-UA"/>
        </w:rPr>
      </w:pPr>
    </w:p>
    <w:p w:rsidR="00F402FA" w:rsidRPr="00FD5CA0" w:rsidRDefault="001649B2" w:rsidP="00FD5CA0">
      <w:pPr>
        <w:ind w:firstLine="709"/>
        <w:jc w:val="both"/>
        <w:rPr>
          <w:b/>
          <w:u w:val="single"/>
          <w:lang w:val="uk-UA"/>
        </w:rPr>
      </w:pPr>
      <w:r w:rsidRPr="00B55615">
        <w:rPr>
          <w:b/>
          <w:u w:val="single"/>
          <w:lang w:val="uk-UA"/>
        </w:rPr>
        <w:t>Вимоги законодавства щодо марку</w:t>
      </w:r>
      <w:r w:rsidR="00456FDC" w:rsidRPr="00B55615">
        <w:rPr>
          <w:b/>
          <w:u w:val="single"/>
          <w:lang w:val="uk-UA"/>
        </w:rPr>
        <w:t>в</w:t>
      </w:r>
      <w:r w:rsidRPr="00B55615">
        <w:rPr>
          <w:b/>
          <w:u w:val="single"/>
          <w:lang w:val="uk-UA"/>
        </w:rPr>
        <w:t>ання дитячих іграшок</w:t>
      </w:r>
      <w:r w:rsidR="004D4F13" w:rsidRPr="00B55615">
        <w:rPr>
          <w:b/>
          <w:u w:val="single"/>
        </w:rPr>
        <w:t>:</w:t>
      </w:r>
    </w:p>
    <w:p w:rsidR="001649B2" w:rsidRDefault="001649B2" w:rsidP="001649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Згідно п. п. 9, 10, 27 Технічного регламенту безпечності іграшок, затвердженого</w:t>
      </w:r>
      <w:r w:rsidR="00EE130F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Постановою Кабінету Міністрів України </w:t>
      </w:r>
      <w:r w:rsidR="00EE130F">
        <w:rPr>
          <w:color w:val="000000"/>
          <w:lang w:val="uk-UA"/>
        </w:rPr>
        <w:t xml:space="preserve">                   </w:t>
      </w:r>
      <w:r>
        <w:rPr>
          <w:color w:val="000000"/>
          <w:lang w:val="uk-UA"/>
        </w:rPr>
        <w:t xml:space="preserve">від 28 </w:t>
      </w:r>
      <w:r w:rsidR="00456FDC">
        <w:rPr>
          <w:color w:val="000000"/>
          <w:lang w:val="uk-UA"/>
        </w:rPr>
        <w:t xml:space="preserve">лютого 2018 року </w:t>
      </w:r>
      <w:r w:rsidR="00456FDC" w:rsidRPr="00271A01">
        <w:rPr>
          <w:i/>
          <w:color w:val="000000"/>
          <w:lang w:val="uk-UA"/>
        </w:rPr>
        <w:t>виробники забез</w:t>
      </w:r>
      <w:r w:rsidRPr="00271A01">
        <w:rPr>
          <w:i/>
          <w:color w:val="000000"/>
          <w:lang w:val="uk-UA"/>
        </w:rPr>
        <w:t xml:space="preserve">печують, щоб на іграшках було нанесення позначення типу, номера партії, серійного номера </w:t>
      </w:r>
      <w:r w:rsidR="00456FDC" w:rsidRPr="00271A01">
        <w:rPr>
          <w:i/>
          <w:color w:val="000000"/>
          <w:lang w:val="uk-UA"/>
        </w:rPr>
        <w:t xml:space="preserve">          </w:t>
      </w:r>
      <w:r w:rsidRPr="00271A01">
        <w:rPr>
          <w:i/>
          <w:color w:val="000000"/>
          <w:lang w:val="uk-UA"/>
        </w:rPr>
        <w:t xml:space="preserve">чи моделі або іншого елемента, що дає змогу їх ідентифікувати. Виробники вказують на іграшці своє найменування, зареєстроване комерційне найменування чи зареєстровану торговельну марку </w:t>
      </w:r>
      <w:r w:rsidR="00456FDC" w:rsidRPr="00271A01">
        <w:rPr>
          <w:i/>
          <w:color w:val="000000"/>
          <w:lang w:val="uk-UA"/>
        </w:rPr>
        <w:t xml:space="preserve">                  </w:t>
      </w:r>
      <w:r w:rsidRPr="00271A01">
        <w:rPr>
          <w:i/>
          <w:color w:val="000000"/>
          <w:lang w:val="uk-UA"/>
        </w:rPr>
        <w:t xml:space="preserve">та конкретну поштову адресу, </w:t>
      </w:r>
      <w:r w:rsidR="00B26476" w:rsidRPr="00271A01">
        <w:rPr>
          <w:i/>
          <w:color w:val="000000"/>
          <w:lang w:val="uk-UA"/>
        </w:rPr>
        <w:t xml:space="preserve">іграшки </w:t>
      </w:r>
      <w:r w:rsidRPr="00271A01">
        <w:rPr>
          <w:i/>
          <w:color w:val="000000"/>
          <w:lang w:val="uk-UA"/>
        </w:rPr>
        <w:t>повинні супроводжувати інструкціями та інформацією щодо безпечності</w:t>
      </w:r>
      <w:r>
        <w:rPr>
          <w:color w:val="000000"/>
          <w:lang w:val="uk-UA"/>
        </w:rPr>
        <w:t xml:space="preserve"> згідно з вимогами закону про порядок застосування мов. </w:t>
      </w:r>
    </w:p>
    <w:p w:rsidR="00456FDC" w:rsidRDefault="00EE130F" w:rsidP="001649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 w:rsidRPr="00271A01">
        <w:rPr>
          <w:i/>
          <w:color w:val="000000"/>
          <w:lang w:val="uk-UA"/>
        </w:rPr>
        <w:t xml:space="preserve">Розповсюджувачі перед наданням іграшки на ринку перевіряють наявність на іграшці знака відповідності технічним регламентам, необхідних </w:t>
      </w:r>
      <w:r>
        <w:rPr>
          <w:color w:val="000000"/>
          <w:lang w:val="uk-UA"/>
        </w:rPr>
        <w:t xml:space="preserve">документів, інструкцій з експлуатації </w:t>
      </w:r>
      <w:r w:rsidR="00DE4EA1">
        <w:rPr>
          <w:color w:val="000000"/>
          <w:lang w:val="uk-UA"/>
        </w:rPr>
        <w:t xml:space="preserve">                </w:t>
      </w:r>
      <w:r>
        <w:rPr>
          <w:color w:val="000000"/>
          <w:lang w:val="uk-UA"/>
        </w:rPr>
        <w:t>та інформації</w:t>
      </w:r>
      <w:r w:rsidR="00456FDC">
        <w:rPr>
          <w:color w:val="000000"/>
          <w:lang w:val="uk-UA"/>
        </w:rPr>
        <w:t xml:space="preserve"> щодо безпечності, що складені згідно з вимогами закону про порядок застосування мов.</w:t>
      </w:r>
    </w:p>
    <w:p w:rsidR="00456FDC" w:rsidRDefault="00456FDC" w:rsidP="00456FDC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Знак відповідності технічним регламентам наноситься згідно із загальними правилами маркування зазначеним знаком, установленим законом (</w:t>
      </w:r>
      <w:r w:rsidR="0057055E">
        <w:rPr>
          <w:lang w:val="uk-UA"/>
        </w:rPr>
        <w:t>п</w:t>
      </w:r>
      <w:r>
        <w:rPr>
          <w:lang w:val="uk-UA"/>
        </w:rPr>
        <w:t>п. 1, 2, 3 Правил та умов нанесення знака відповідності технічним регламентам, затвердженого постановою Кабінету Міністрів України від 30.12. 2015 р. № 1184).</w:t>
      </w:r>
      <w:r>
        <w:rPr>
          <w:color w:val="000000"/>
          <w:lang w:val="uk-UA"/>
        </w:rPr>
        <w:t xml:space="preserve"> Знак відповідності наноситься на іграшку , етикетку або упаковку таким чином, щоб він був видимим, розбірливим та незмивним</w:t>
      </w:r>
      <w:r w:rsidR="00B119B7">
        <w:rPr>
          <w:color w:val="000000"/>
          <w:lang w:val="uk-UA"/>
        </w:rPr>
        <w:t>.</w:t>
      </w:r>
      <w:r>
        <w:rPr>
          <w:color w:val="000000"/>
          <w:lang w:val="uk-UA"/>
        </w:rPr>
        <w:t xml:space="preserve">                                                   </w:t>
      </w:r>
    </w:p>
    <w:p w:rsidR="00456FDC" w:rsidRPr="00456FDC" w:rsidRDefault="00456FDC" w:rsidP="000F5D80">
      <w:pPr>
        <w:pStyle w:val="rvps2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lang w:val="uk-UA"/>
        </w:rPr>
      </w:pPr>
      <w:r w:rsidRPr="00456FDC">
        <w:rPr>
          <w:noProof/>
          <w:color w:val="000000"/>
        </w:rPr>
        <w:drawing>
          <wp:inline distT="0" distB="0" distL="0" distR="0">
            <wp:extent cx="970413" cy="914328"/>
            <wp:effectExtent l="19050" t="0" r="1137" b="0"/>
            <wp:docPr id="4" name="Рисунок 1" descr="ÐÐ°ÑÑÐ¸Ð½ÐºÐ¸ Ð¿Ð¾ Ð·Ð°Ð¿ÑÐ¾ÑÑ Ð·Ð½Ð°Ðº Ð²ÑÐ´Ð¿Ð¾Ð²ÑÐ´Ð½Ð¾ÑÑÑ ÑÐµÑÐ½ÑÑÐ½Ð¸Ð¼ ÑÐµÐ³Ð»Ð°Ð¼ÐµÐ½ÑÐ°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·Ð½Ð°Ðº Ð²ÑÐ´Ð¿Ð¾Ð²ÑÐ´Ð½Ð¾ÑÑÑ ÑÐµÑÐ½ÑÑÐ½Ð¸Ð¼ ÑÐµÐ³Ð»Ð°Ð¼ÐµÐ½ÑÐ°Ð¼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533" cy="917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DC" w:rsidRDefault="00456FDC" w:rsidP="001649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</w:p>
    <w:p w:rsidR="001649B2" w:rsidRDefault="00456FDC" w:rsidP="001649B2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Іграшки, на які нанесено знак відповідності технічним регламентам, вважаються такими, що відповідають Технічному регламенту безпечності іграшок.</w:t>
      </w:r>
    </w:p>
    <w:p w:rsidR="004D4F13" w:rsidRPr="00F03F9A" w:rsidRDefault="004D4F13" w:rsidP="00F03F9A">
      <w:pPr>
        <w:tabs>
          <w:tab w:val="left" w:pos="5327"/>
        </w:tabs>
        <w:jc w:val="both"/>
        <w:rPr>
          <w:lang w:val="uk-UA"/>
        </w:rPr>
      </w:pPr>
    </w:p>
    <w:sectPr w:rsidR="004D4F13" w:rsidRPr="00F03F9A" w:rsidSect="00977838">
      <w:pgSz w:w="8391" w:h="11907" w:code="11"/>
      <w:pgMar w:top="1134" w:right="567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F7DA1"/>
    <w:multiLevelType w:val="hybridMultilevel"/>
    <w:tmpl w:val="82740832"/>
    <w:lvl w:ilvl="0" w:tplc="0262C5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0F"/>
    <w:rsid w:val="000853AD"/>
    <w:rsid w:val="00091576"/>
    <w:rsid w:val="000D3EE4"/>
    <w:rsid w:val="000F5D80"/>
    <w:rsid w:val="00107362"/>
    <w:rsid w:val="00152A55"/>
    <w:rsid w:val="0015315F"/>
    <w:rsid w:val="001649B2"/>
    <w:rsid w:val="001A281B"/>
    <w:rsid w:val="001E1B91"/>
    <w:rsid w:val="00201B94"/>
    <w:rsid w:val="00244E9F"/>
    <w:rsid w:val="00271A01"/>
    <w:rsid w:val="00277EB3"/>
    <w:rsid w:val="00291B6A"/>
    <w:rsid w:val="003B104D"/>
    <w:rsid w:val="00451EF3"/>
    <w:rsid w:val="00456FDC"/>
    <w:rsid w:val="004D4F13"/>
    <w:rsid w:val="00564C91"/>
    <w:rsid w:val="0057055E"/>
    <w:rsid w:val="005C49BB"/>
    <w:rsid w:val="005D2CCB"/>
    <w:rsid w:val="005D59B2"/>
    <w:rsid w:val="005E148C"/>
    <w:rsid w:val="005F76AE"/>
    <w:rsid w:val="0061189C"/>
    <w:rsid w:val="00647770"/>
    <w:rsid w:val="00734753"/>
    <w:rsid w:val="0077517C"/>
    <w:rsid w:val="0077720F"/>
    <w:rsid w:val="007B4A33"/>
    <w:rsid w:val="008324A9"/>
    <w:rsid w:val="00891136"/>
    <w:rsid w:val="008D1ABD"/>
    <w:rsid w:val="009236C8"/>
    <w:rsid w:val="009672DE"/>
    <w:rsid w:val="00977838"/>
    <w:rsid w:val="00996199"/>
    <w:rsid w:val="009A43F3"/>
    <w:rsid w:val="00A02081"/>
    <w:rsid w:val="00A02B25"/>
    <w:rsid w:val="00A87188"/>
    <w:rsid w:val="00AD3C27"/>
    <w:rsid w:val="00AE1B08"/>
    <w:rsid w:val="00AF2AA7"/>
    <w:rsid w:val="00B119B7"/>
    <w:rsid w:val="00B26476"/>
    <w:rsid w:val="00B32797"/>
    <w:rsid w:val="00B55615"/>
    <w:rsid w:val="00B716D1"/>
    <w:rsid w:val="00B864C6"/>
    <w:rsid w:val="00BA3AAF"/>
    <w:rsid w:val="00BC3D73"/>
    <w:rsid w:val="00C30F43"/>
    <w:rsid w:val="00C57911"/>
    <w:rsid w:val="00D05A16"/>
    <w:rsid w:val="00D4600D"/>
    <w:rsid w:val="00D8465C"/>
    <w:rsid w:val="00D874EB"/>
    <w:rsid w:val="00DA385E"/>
    <w:rsid w:val="00DE4EA1"/>
    <w:rsid w:val="00E3074F"/>
    <w:rsid w:val="00E35196"/>
    <w:rsid w:val="00E90286"/>
    <w:rsid w:val="00EB045F"/>
    <w:rsid w:val="00EE130F"/>
    <w:rsid w:val="00EE3032"/>
    <w:rsid w:val="00F03120"/>
    <w:rsid w:val="00F03F9A"/>
    <w:rsid w:val="00F10BA2"/>
    <w:rsid w:val="00F11371"/>
    <w:rsid w:val="00F16F7A"/>
    <w:rsid w:val="00F26524"/>
    <w:rsid w:val="00F35D5F"/>
    <w:rsid w:val="00F402FA"/>
    <w:rsid w:val="00F81BAC"/>
    <w:rsid w:val="00FD5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5AD19-88C5-4196-888E-3317F69F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2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E35196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20F"/>
    <w:rPr>
      <w:color w:val="0000FF"/>
      <w:u w:val="single"/>
    </w:rPr>
  </w:style>
  <w:style w:type="paragraph" w:styleId="a4">
    <w:name w:val="Body Text"/>
    <w:basedOn w:val="a"/>
    <w:link w:val="a5"/>
    <w:rsid w:val="0077720F"/>
    <w:pPr>
      <w:jc w:val="both"/>
    </w:pPr>
    <w:rPr>
      <w:sz w:val="28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77720F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character" w:customStyle="1" w:styleId="20">
    <w:name w:val="Заголовок 2 Знак"/>
    <w:basedOn w:val="a0"/>
    <w:link w:val="2"/>
    <w:uiPriority w:val="9"/>
    <w:rsid w:val="00E351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Emphasis"/>
    <w:basedOn w:val="a0"/>
    <w:qFormat/>
    <w:rsid w:val="00E35196"/>
    <w:rPr>
      <w:i/>
      <w:iCs/>
    </w:rPr>
  </w:style>
  <w:style w:type="paragraph" w:styleId="a7">
    <w:name w:val="Normal (Web)"/>
    <w:basedOn w:val="a"/>
    <w:rsid w:val="004D4F1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D4F13"/>
  </w:style>
  <w:style w:type="character" w:styleId="a8">
    <w:name w:val="Strong"/>
    <w:uiPriority w:val="22"/>
    <w:qFormat/>
    <w:rsid w:val="004D4F13"/>
    <w:rPr>
      <w:b/>
      <w:bCs/>
    </w:rPr>
  </w:style>
  <w:style w:type="paragraph" w:customStyle="1" w:styleId="rvps2">
    <w:name w:val="rvps2"/>
    <w:basedOn w:val="a"/>
    <w:rsid w:val="000853A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649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49B2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F5D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3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Сергей</cp:lastModifiedBy>
  <cp:revision>2</cp:revision>
  <cp:lastPrinted>2018-12-17T07:55:00Z</cp:lastPrinted>
  <dcterms:created xsi:type="dcterms:W3CDTF">2020-04-28T07:20:00Z</dcterms:created>
  <dcterms:modified xsi:type="dcterms:W3CDTF">2020-04-28T07:20:00Z</dcterms:modified>
</cp:coreProperties>
</file>