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81" w:rsidRPr="000E3BB6" w:rsidRDefault="00261080" w:rsidP="000E3BB6">
      <w:pPr>
        <w:pStyle w:val="a8"/>
        <w:shd w:val="clear" w:color="auto" w:fill="FFFFFF"/>
        <w:spacing w:before="120" w:beforeAutospacing="0" w:after="120" w:afterAutospacing="0" w:line="276" w:lineRule="auto"/>
        <w:jc w:val="center"/>
        <w:textAlignment w:val="baseline"/>
        <w:rPr>
          <w:b/>
          <w:sz w:val="28"/>
          <w:szCs w:val="28"/>
        </w:rPr>
      </w:pPr>
      <w:proofErr w:type="spellStart"/>
      <w:r w:rsidRPr="000E3BB6">
        <w:rPr>
          <w:b/>
          <w:sz w:val="28"/>
          <w:szCs w:val="28"/>
        </w:rPr>
        <w:t>Перелік</w:t>
      </w:r>
      <w:proofErr w:type="spellEnd"/>
      <w:r w:rsidRPr="000E3BB6">
        <w:rPr>
          <w:b/>
          <w:sz w:val="28"/>
          <w:szCs w:val="28"/>
        </w:rPr>
        <w:t xml:space="preserve"> </w:t>
      </w:r>
      <w:proofErr w:type="spellStart"/>
      <w:r w:rsidRPr="000E3BB6">
        <w:rPr>
          <w:b/>
          <w:sz w:val="28"/>
          <w:szCs w:val="28"/>
        </w:rPr>
        <w:t>нормативно-правових</w:t>
      </w:r>
      <w:proofErr w:type="spellEnd"/>
      <w:r w:rsidRPr="000E3BB6">
        <w:rPr>
          <w:b/>
          <w:sz w:val="28"/>
          <w:szCs w:val="28"/>
        </w:rPr>
        <w:t xml:space="preserve"> </w:t>
      </w:r>
      <w:proofErr w:type="spellStart"/>
      <w:r w:rsidRPr="000E3BB6">
        <w:rPr>
          <w:b/>
          <w:sz w:val="28"/>
          <w:szCs w:val="28"/>
        </w:rPr>
        <w:t>актів</w:t>
      </w:r>
      <w:proofErr w:type="spellEnd"/>
      <w:r w:rsidRPr="000E3BB6">
        <w:rPr>
          <w:b/>
          <w:sz w:val="28"/>
          <w:szCs w:val="28"/>
        </w:rPr>
        <w:t xml:space="preserve"> та </w:t>
      </w:r>
      <w:proofErr w:type="spellStart"/>
      <w:r w:rsidRPr="000E3BB6">
        <w:rPr>
          <w:b/>
          <w:sz w:val="28"/>
          <w:szCs w:val="28"/>
        </w:rPr>
        <w:t>нормативних</w:t>
      </w:r>
      <w:proofErr w:type="spellEnd"/>
      <w:r w:rsidRPr="000E3BB6">
        <w:rPr>
          <w:b/>
          <w:sz w:val="28"/>
          <w:szCs w:val="28"/>
        </w:rPr>
        <w:t xml:space="preserve"> </w:t>
      </w:r>
      <w:proofErr w:type="spellStart"/>
      <w:r w:rsidRPr="000E3BB6">
        <w:rPr>
          <w:b/>
          <w:sz w:val="28"/>
          <w:szCs w:val="28"/>
        </w:rPr>
        <w:t>документів</w:t>
      </w:r>
      <w:proofErr w:type="spellEnd"/>
      <w:r w:rsidRPr="000E3BB6">
        <w:rPr>
          <w:b/>
          <w:sz w:val="28"/>
          <w:szCs w:val="28"/>
        </w:rPr>
        <w:t xml:space="preserve">, </w:t>
      </w:r>
      <w:proofErr w:type="spellStart"/>
      <w:r w:rsidRPr="000E3BB6">
        <w:rPr>
          <w:b/>
          <w:sz w:val="28"/>
          <w:szCs w:val="28"/>
        </w:rPr>
        <w:t>відповідно</w:t>
      </w:r>
      <w:proofErr w:type="spellEnd"/>
      <w:r w:rsidRPr="000E3BB6">
        <w:rPr>
          <w:b/>
          <w:sz w:val="28"/>
          <w:szCs w:val="28"/>
        </w:rPr>
        <w:t xml:space="preserve"> до </w:t>
      </w:r>
      <w:proofErr w:type="spellStart"/>
      <w:r w:rsidRPr="000E3BB6">
        <w:rPr>
          <w:b/>
          <w:sz w:val="28"/>
          <w:szCs w:val="28"/>
        </w:rPr>
        <w:t>яких</w:t>
      </w:r>
      <w:proofErr w:type="spellEnd"/>
      <w:r w:rsidRPr="000E3BB6">
        <w:rPr>
          <w:b/>
          <w:sz w:val="28"/>
          <w:szCs w:val="28"/>
        </w:rPr>
        <w:t xml:space="preserve"> </w:t>
      </w:r>
      <w:proofErr w:type="spellStart"/>
      <w:r w:rsidRPr="000E3BB6">
        <w:rPr>
          <w:b/>
          <w:sz w:val="28"/>
          <w:szCs w:val="28"/>
        </w:rPr>
        <w:t>проводяться</w:t>
      </w:r>
      <w:proofErr w:type="spellEnd"/>
      <w:r w:rsidRPr="000E3BB6">
        <w:rPr>
          <w:b/>
          <w:sz w:val="28"/>
          <w:szCs w:val="28"/>
        </w:rPr>
        <w:t xml:space="preserve"> заходи </w:t>
      </w:r>
      <w:proofErr w:type="gramStart"/>
      <w:r w:rsidRPr="000E3BB6">
        <w:rPr>
          <w:b/>
          <w:sz w:val="28"/>
          <w:szCs w:val="28"/>
        </w:rPr>
        <w:t>державного</w:t>
      </w:r>
      <w:proofErr w:type="gramEnd"/>
      <w:r w:rsidRPr="000E3BB6">
        <w:rPr>
          <w:b/>
          <w:sz w:val="28"/>
          <w:szCs w:val="28"/>
        </w:rPr>
        <w:t xml:space="preserve"> </w:t>
      </w:r>
      <w:proofErr w:type="spellStart"/>
      <w:r w:rsidRPr="000E3BB6">
        <w:rPr>
          <w:b/>
          <w:sz w:val="28"/>
          <w:szCs w:val="28"/>
        </w:rPr>
        <w:t>нагляду</w:t>
      </w:r>
      <w:proofErr w:type="spellEnd"/>
      <w:r w:rsidRPr="000E3BB6">
        <w:rPr>
          <w:b/>
          <w:sz w:val="28"/>
          <w:szCs w:val="28"/>
        </w:rPr>
        <w:t xml:space="preserve"> (контролю) у </w:t>
      </w:r>
      <w:proofErr w:type="spellStart"/>
      <w:r w:rsidRPr="000E3BB6">
        <w:rPr>
          <w:b/>
          <w:sz w:val="28"/>
          <w:szCs w:val="28"/>
        </w:rPr>
        <w:t>сфері</w:t>
      </w:r>
      <w:proofErr w:type="spellEnd"/>
      <w:r w:rsidRPr="000E3BB6">
        <w:rPr>
          <w:b/>
          <w:sz w:val="28"/>
          <w:szCs w:val="28"/>
        </w:rPr>
        <w:t xml:space="preserve"> </w:t>
      </w:r>
      <w:proofErr w:type="spellStart"/>
      <w:r w:rsidRPr="000E3BB6">
        <w:rPr>
          <w:b/>
          <w:sz w:val="28"/>
          <w:szCs w:val="28"/>
        </w:rPr>
        <w:t>формування</w:t>
      </w:r>
      <w:proofErr w:type="spellEnd"/>
      <w:r w:rsidRPr="000E3BB6">
        <w:rPr>
          <w:b/>
          <w:sz w:val="28"/>
          <w:szCs w:val="28"/>
        </w:rPr>
        <w:t xml:space="preserve">, </w:t>
      </w:r>
      <w:proofErr w:type="spellStart"/>
      <w:r w:rsidRPr="000E3BB6">
        <w:rPr>
          <w:b/>
          <w:sz w:val="28"/>
          <w:szCs w:val="28"/>
        </w:rPr>
        <w:t>встановлення</w:t>
      </w:r>
      <w:proofErr w:type="spellEnd"/>
      <w:r w:rsidRPr="000E3BB6">
        <w:rPr>
          <w:b/>
          <w:sz w:val="28"/>
          <w:szCs w:val="28"/>
        </w:rPr>
        <w:t xml:space="preserve"> та </w:t>
      </w:r>
      <w:proofErr w:type="spellStart"/>
      <w:r w:rsidRPr="000E3BB6">
        <w:rPr>
          <w:b/>
          <w:sz w:val="28"/>
          <w:szCs w:val="28"/>
        </w:rPr>
        <w:t>застосування</w:t>
      </w:r>
      <w:proofErr w:type="spellEnd"/>
      <w:r w:rsidRPr="000E3BB6">
        <w:rPr>
          <w:b/>
          <w:sz w:val="28"/>
          <w:szCs w:val="28"/>
        </w:rPr>
        <w:t xml:space="preserve"> </w:t>
      </w:r>
      <w:proofErr w:type="spellStart"/>
      <w:r w:rsidRPr="000E3BB6">
        <w:rPr>
          <w:b/>
          <w:sz w:val="28"/>
          <w:szCs w:val="28"/>
        </w:rPr>
        <w:t>державних</w:t>
      </w:r>
      <w:proofErr w:type="spellEnd"/>
      <w:r w:rsidRPr="000E3BB6">
        <w:rPr>
          <w:b/>
          <w:sz w:val="28"/>
          <w:szCs w:val="28"/>
        </w:rPr>
        <w:t xml:space="preserve"> </w:t>
      </w:r>
      <w:proofErr w:type="spellStart"/>
      <w:r w:rsidRPr="000E3BB6">
        <w:rPr>
          <w:b/>
          <w:sz w:val="28"/>
          <w:szCs w:val="28"/>
        </w:rPr>
        <w:t>регульованих</w:t>
      </w:r>
      <w:proofErr w:type="spellEnd"/>
      <w:r w:rsidRPr="000E3BB6">
        <w:rPr>
          <w:b/>
          <w:sz w:val="28"/>
          <w:szCs w:val="28"/>
        </w:rPr>
        <w:t xml:space="preserve"> </w:t>
      </w:r>
      <w:proofErr w:type="spellStart"/>
      <w:r w:rsidRPr="000E3BB6">
        <w:rPr>
          <w:b/>
          <w:sz w:val="28"/>
          <w:szCs w:val="28"/>
        </w:rPr>
        <w:t>цін</w:t>
      </w:r>
      <w:proofErr w:type="spellEnd"/>
      <w:r w:rsidR="00CE1444" w:rsidRPr="000E3BB6">
        <w:rPr>
          <w:b/>
          <w:sz w:val="28"/>
          <w:szCs w:val="28"/>
        </w:rPr>
        <w:t xml:space="preserve"> </w:t>
      </w:r>
      <w:r w:rsidR="00CE1444" w:rsidRPr="000E3BB6">
        <w:rPr>
          <w:b/>
        </w:rPr>
        <w:t xml:space="preserve"> </w:t>
      </w:r>
      <w:r w:rsidR="00CE1444" w:rsidRPr="000E3BB6">
        <w:rPr>
          <w:b/>
          <w:sz w:val="28"/>
          <w:szCs w:val="28"/>
        </w:rPr>
        <w:t xml:space="preserve">на </w:t>
      </w:r>
      <w:proofErr w:type="spellStart"/>
      <w:r w:rsidR="00CE1444" w:rsidRPr="000E3BB6">
        <w:rPr>
          <w:b/>
          <w:sz w:val="28"/>
          <w:szCs w:val="28"/>
        </w:rPr>
        <w:t>житлово</w:t>
      </w:r>
      <w:r w:rsidR="000E3BB6" w:rsidRPr="000E3BB6">
        <w:rPr>
          <w:b/>
          <w:sz w:val="28"/>
          <w:szCs w:val="28"/>
        </w:rPr>
        <w:t>-</w:t>
      </w:r>
      <w:r w:rsidR="00CE1444" w:rsidRPr="000E3BB6">
        <w:rPr>
          <w:b/>
          <w:sz w:val="28"/>
          <w:szCs w:val="28"/>
        </w:rPr>
        <w:t>комунальні</w:t>
      </w:r>
      <w:proofErr w:type="spellEnd"/>
      <w:r w:rsidR="00CE1444" w:rsidRPr="000E3BB6">
        <w:rPr>
          <w:b/>
          <w:sz w:val="28"/>
          <w:szCs w:val="28"/>
        </w:rPr>
        <w:t xml:space="preserve"> </w:t>
      </w:r>
      <w:proofErr w:type="spellStart"/>
      <w:r w:rsidR="00CE1444" w:rsidRPr="000E3BB6">
        <w:rPr>
          <w:b/>
          <w:sz w:val="28"/>
          <w:szCs w:val="28"/>
        </w:rPr>
        <w:t>послуги</w:t>
      </w:r>
      <w:proofErr w:type="spellEnd"/>
      <w:r w:rsidR="00CE1444" w:rsidRPr="000E3BB6">
        <w:rPr>
          <w:b/>
          <w:sz w:val="28"/>
          <w:szCs w:val="28"/>
        </w:rPr>
        <w:t xml:space="preserve">, </w:t>
      </w:r>
      <w:proofErr w:type="spellStart"/>
      <w:r w:rsidR="00CE1444" w:rsidRPr="000E3BB6">
        <w:rPr>
          <w:b/>
          <w:sz w:val="28"/>
          <w:szCs w:val="28"/>
        </w:rPr>
        <w:t>лікарські</w:t>
      </w:r>
      <w:proofErr w:type="spellEnd"/>
      <w:r w:rsidR="00CE1444" w:rsidRPr="000E3BB6">
        <w:rPr>
          <w:b/>
          <w:sz w:val="28"/>
          <w:szCs w:val="28"/>
        </w:rPr>
        <w:t xml:space="preserve"> </w:t>
      </w:r>
      <w:proofErr w:type="spellStart"/>
      <w:r w:rsidR="00CE1444" w:rsidRPr="000E3BB6">
        <w:rPr>
          <w:b/>
          <w:sz w:val="28"/>
          <w:szCs w:val="28"/>
        </w:rPr>
        <w:t>засоби</w:t>
      </w:r>
      <w:proofErr w:type="spellEnd"/>
      <w:r w:rsidR="000E3BB6" w:rsidRPr="000E3BB6">
        <w:rPr>
          <w:b/>
          <w:sz w:val="28"/>
          <w:szCs w:val="28"/>
          <w:lang w:val="uk-UA"/>
        </w:rPr>
        <w:t xml:space="preserve"> </w:t>
      </w:r>
      <w:r w:rsidR="00CE1444" w:rsidRPr="000E3BB6">
        <w:rPr>
          <w:b/>
          <w:sz w:val="28"/>
          <w:szCs w:val="28"/>
          <w:lang w:val="uk-UA"/>
        </w:rPr>
        <w:t>та вироби медичного призначення</w:t>
      </w:r>
    </w:p>
    <w:p w:rsidR="00CE1444" w:rsidRPr="00CE1444" w:rsidRDefault="00CE1444" w:rsidP="00CE1444">
      <w:pPr>
        <w:pStyle w:val="a8"/>
        <w:shd w:val="clear" w:color="auto" w:fill="FFFFFF"/>
        <w:spacing w:before="0" w:beforeAutospacing="0" w:after="0" w:afterAutospacing="0"/>
        <w:jc w:val="center"/>
        <w:textAlignment w:val="baseline"/>
        <w:rPr>
          <w:sz w:val="28"/>
          <w:szCs w:val="28"/>
          <w:lang w:val="uk-UA"/>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4678"/>
      </w:tblGrid>
      <w:tr w:rsidR="00DD5DB1" w:rsidRPr="00FF5626" w:rsidTr="00DD5DB1">
        <w:trPr>
          <w:trHeight w:val="507"/>
        </w:trPr>
        <w:tc>
          <w:tcPr>
            <w:tcW w:w="709" w:type="dxa"/>
            <w:vMerge w:val="restart"/>
            <w:vAlign w:val="center"/>
          </w:tcPr>
          <w:p w:rsidR="00DD5DB1" w:rsidRPr="00FF5626" w:rsidRDefault="00DD5DB1" w:rsidP="00527DF4">
            <w:pPr>
              <w:ind w:left="-219" w:right="-250"/>
              <w:jc w:val="center"/>
              <w:rPr>
                <w:lang w:val="uk-UA"/>
              </w:rPr>
            </w:pPr>
            <w:r w:rsidRPr="00FF5626">
              <w:rPr>
                <w:lang w:val="uk-UA"/>
              </w:rPr>
              <w:t>№</w:t>
            </w:r>
          </w:p>
          <w:p w:rsidR="00DD5DB1" w:rsidRPr="00FF5626" w:rsidRDefault="00DD5DB1" w:rsidP="00527DF4">
            <w:pPr>
              <w:pStyle w:val="a6"/>
              <w:spacing w:before="240" w:after="120"/>
              <w:ind w:left="-219" w:right="-250" w:firstLine="0"/>
              <w:jc w:val="center"/>
              <w:rPr>
                <w:rFonts w:ascii="Times New Roman" w:hAnsi="Times New Roman"/>
                <w:sz w:val="24"/>
                <w:szCs w:val="24"/>
              </w:rPr>
            </w:pPr>
            <w:r w:rsidRPr="00FF5626">
              <w:rPr>
                <w:rFonts w:ascii="Times New Roman" w:hAnsi="Times New Roman"/>
                <w:sz w:val="24"/>
                <w:szCs w:val="24"/>
              </w:rPr>
              <w:t>з/п</w:t>
            </w:r>
          </w:p>
        </w:tc>
        <w:tc>
          <w:tcPr>
            <w:tcW w:w="3544" w:type="dxa"/>
            <w:vMerge w:val="restart"/>
          </w:tcPr>
          <w:p w:rsidR="00DD5DB1" w:rsidRPr="000E3BB6" w:rsidRDefault="000E3BB6" w:rsidP="00527DF4">
            <w:pPr>
              <w:pStyle w:val="a6"/>
              <w:spacing w:before="240" w:after="120"/>
              <w:ind w:firstLine="0"/>
              <w:jc w:val="center"/>
              <w:rPr>
                <w:rFonts w:ascii="Times New Roman" w:hAnsi="Times New Roman"/>
                <w:b/>
                <w:sz w:val="24"/>
                <w:szCs w:val="24"/>
              </w:rPr>
            </w:pPr>
            <w:r w:rsidRPr="000E3BB6">
              <w:rPr>
                <w:rFonts w:ascii="Times New Roman" w:hAnsi="Times New Roman"/>
                <w:b/>
                <w:sz w:val="24"/>
                <w:szCs w:val="24"/>
              </w:rPr>
              <w:t>Питання щодо дотримання суб'</w:t>
            </w:r>
            <w:r w:rsidR="00DD5DB1" w:rsidRPr="000E3BB6">
              <w:rPr>
                <w:rFonts w:ascii="Times New Roman" w:hAnsi="Times New Roman"/>
                <w:b/>
                <w:sz w:val="24"/>
                <w:szCs w:val="24"/>
              </w:rPr>
              <w:t>єктом господарювання вимог законодавства</w:t>
            </w:r>
          </w:p>
        </w:tc>
        <w:tc>
          <w:tcPr>
            <w:tcW w:w="1276" w:type="dxa"/>
            <w:vMerge w:val="restart"/>
            <w:vAlign w:val="center"/>
          </w:tcPr>
          <w:p w:rsidR="00DD5DB1" w:rsidRPr="000E3BB6" w:rsidRDefault="000E3BB6" w:rsidP="00527DF4">
            <w:pPr>
              <w:pStyle w:val="a6"/>
              <w:spacing w:before="240" w:after="120"/>
              <w:ind w:left="-108" w:right="-108" w:firstLine="0"/>
              <w:jc w:val="center"/>
              <w:rPr>
                <w:rFonts w:ascii="Times New Roman" w:hAnsi="Times New Roman"/>
                <w:b/>
                <w:sz w:val="24"/>
                <w:szCs w:val="24"/>
              </w:rPr>
            </w:pPr>
            <w:r w:rsidRPr="000E3BB6">
              <w:rPr>
                <w:rFonts w:ascii="Times New Roman" w:hAnsi="Times New Roman"/>
                <w:b/>
                <w:sz w:val="24"/>
                <w:szCs w:val="24"/>
              </w:rPr>
              <w:t>Ступінь ризику суб'</w:t>
            </w:r>
            <w:r w:rsidR="00DD5DB1" w:rsidRPr="000E3BB6">
              <w:rPr>
                <w:rFonts w:ascii="Times New Roman" w:hAnsi="Times New Roman"/>
                <w:b/>
                <w:sz w:val="24"/>
                <w:szCs w:val="24"/>
              </w:rPr>
              <w:t xml:space="preserve">єкта </w:t>
            </w:r>
            <w:proofErr w:type="spellStart"/>
            <w:r w:rsidR="00DD5DB1" w:rsidRPr="000E3BB6">
              <w:rPr>
                <w:rFonts w:ascii="Times New Roman" w:hAnsi="Times New Roman"/>
                <w:b/>
                <w:sz w:val="24"/>
                <w:szCs w:val="24"/>
              </w:rPr>
              <w:t>господа-рювання</w:t>
            </w:r>
            <w:proofErr w:type="spellEnd"/>
          </w:p>
        </w:tc>
        <w:tc>
          <w:tcPr>
            <w:tcW w:w="4678" w:type="dxa"/>
            <w:vMerge w:val="restart"/>
            <w:vAlign w:val="center"/>
          </w:tcPr>
          <w:p w:rsidR="00DD5DB1" w:rsidRPr="000E3BB6" w:rsidRDefault="00DD5DB1" w:rsidP="00527DF4">
            <w:pPr>
              <w:pStyle w:val="a6"/>
              <w:spacing w:before="240" w:after="120"/>
              <w:ind w:firstLine="0"/>
              <w:jc w:val="center"/>
              <w:rPr>
                <w:rFonts w:ascii="Times New Roman" w:hAnsi="Times New Roman"/>
                <w:b/>
                <w:sz w:val="24"/>
                <w:szCs w:val="24"/>
              </w:rPr>
            </w:pPr>
            <w:r w:rsidRPr="000E3BB6">
              <w:rPr>
                <w:rFonts w:ascii="Times New Roman" w:hAnsi="Times New Roman"/>
                <w:b/>
                <w:sz w:val="24"/>
                <w:szCs w:val="24"/>
              </w:rPr>
              <w:t>Нормативне обґрунтування</w:t>
            </w:r>
          </w:p>
        </w:tc>
      </w:tr>
      <w:tr w:rsidR="00DD5DB1" w:rsidRPr="00FF5626" w:rsidTr="00DD5DB1">
        <w:trPr>
          <w:trHeight w:val="734"/>
        </w:trPr>
        <w:tc>
          <w:tcPr>
            <w:tcW w:w="709" w:type="dxa"/>
            <w:vMerge/>
          </w:tcPr>
          <w:p w:rsidR="00DD5DB1" w:rsidRPr="00FF5626" w:rsidRDefault="00DD5DB1" w:rsidP="00527DF4">
            <w:pPr>
              <w:pStyle w:val="a6"/>
              <w:spacing w:before="240" w:after="120"/>
              <w:ind w:left="-219" w:right="-250" w:firstLine="0"/>
              <w:jc w:val="center"/>
              <w:rPr>
                <w:rFonts w:ascii="Times New Roman" w:hAnsi="Times New Roman"/>
                <w:sz w:val="24"/>
                <w:szCs w:val="24"/>
              </w:rPr>
            </w:pPr>
          </w:p>
        </w:tc>
        <w:tc>
          <w:tcPr>
            <w:tcW w:w="3544" w:type="dxa"/>
            <w:vMerge/>
          </w:tcPr>
          <w:p w:rsidR="00DD5DB1" w:rsidRPr="00FF5626" w:rsidRDefault="00DD5DB1" w:rsidP="00527DF4">
            <w:pPr>
              <w:pStyle w:val="a6"/>
              <w:spacing w:before="240" w:after="120"/>
              <w:ind w:firstLine="0"/>
              <w:jc w:val="center"/>
              <w:rPr>
                <w:rFonts w:ascii="Times New Roman" w:hAnsi="Times New Roman"/>
                <w:sz w:val="24"/>
                <w:szCs w:val="24"/>
              </w:rPr>
            </w:pPr>
          </w:p>
        </w:tc>
        <w:tc>
          <w:tcPr>
            <w:tcW w:w="1276" w:type="dxa"/>
            <w:vMerge/>
          </w:tcPr>
          <w:p w:rsidR="00DD5DB1" w:rsidRPr="00FF5626" w:rsidRDefault="00DD5DB1" w:rsidP="00527DF4">
            <w:pPr>
              <w:pStyle w:val="a6"/>
              <w:spacing w:before="240" w:after="120"/>
              <w:ind w:left="-108" w:right="-108" w:firstLine="0"/>
              <w:jc w:val="center"/>
              <w:rPr>
                <w:rFonts w:ascii="Times New Roman" w:hAnsi="Times New Roman"/>
                <w:sz w:val="24"/>
                <w:szCs w:val="24"/>
              </w:rPr>
            </w:pPr>
          </w:p>
        </w:tc>
        <w:tc>
          <w:tcPr>
            <w:tcW w:w="4678" w:type="dxa"/>
            <w:vMerge/>
          </w:tcPr>
          <w:p w:rsidR="00DD5DB1" w:rsidRPr="00FF5626" w:rsidRDefault="00DD5DB1" w:rsidP="00527DF4">
            <w:pPr>
              <w:pStyle w:val="a6"/>
              <w:spacing w:before="240" w:after="120"/>
              <w:ind w:firstLine="0"/>
              <w:jc w:val="center"/>
              <w:rPr>
                <w:rFonts w:ascii="Times New Roman" w:hAnsi="Times New Roman"/>
                <w:sz w:val="24"/>
                <w:szCs w:val="24"/>
              </w:rPr>
            </w:pPr>
          </w:p>
        </w:tc>
      </w:tr>
      <w:tr w:rsidR="00DD5DB1" w:rsidRPr="00FF5626" w:rsidTr="007E66B4">
        <w:trPr>
          <w:trHeight w:val="20"/>
        </w:trPr>
        <w:tc>
          <w:tcPr>
            <w:tcW w:w="10207" w:type="dxa"/>
            <w:gridSpan w:val="4"/>
          </w:tcPr>
          <w:p w:rsidR="00DD5DB1" w:rsidRPr="00FF5626" w:rsidRDefault="00DD5DB1" w:rsidP="00DD5DB1">
            <w:pPr>
              <w:jc w:val="center"/>
              <w:rPr>
                <w:sz w:val="19"/>
                <w:szCs w:val="19"/>
                <w:lang w:val="uk-UA"/>
              </w:rPr>
            </w:pPr>
            <w:r>
              <w:rPr>
                <w:lang w:val="uk-UA"/>
              </w:rPr>
              <w:t>1</w:t>
            </w:r>
            <w:r w:rsidR="00DB1134">
              <w:rPr>
                <w:lang w:val="uk-UA"/>
              </w:rPr>
              <w:t>.</w:t>
            </w:r>
            <w:r w:rsidRPr="00FF5626">
              <w:rPr>
                <w:lang w:val="uk-UA"/>
              </w:rPr>
              <w:t>У сфері державного регулювання цін (тарифів) на житлово-комунальні послуги</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1.1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порядків формування тарифів на теплову енергію, її виробництво, транспортування та постачання, послуги з централізованого опалення і постачання гарячої води,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 xml:space="preserve">з 1 травня 2019 року - порядків формування тарифів на постачання теплової енергії, постачання гарячої води, встановлення та застосування тарифів </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 (від 24.06.2004 № 1875</w:t>
            </w:r>
            <w:r w:rsidRPr="000E3BB6">
              <w:rPr>
                <w:bCs/>
                <w:sz w:val="20"/>
                <w:szCs w:val="20"/>
                <w:lang w:val="uk-UA"/>
              </w:rPr>
              <w:t>-IV)</w:t>
            </w:r>
            <w:r w:rsidRPr="000E3BB6">
              <w:rPr>
                <w:sz w:val="20"/>
                <w:szCs w:val="20"/>
                <w:lang w:val="uk-UA"/>
              </w:rPr>
              <w:t>; абзац восьмий пункту 2 частини першої статті 6 Закону України “Про державне регулювання у сфері комунальних послуг”; пункт 4 частини першої статті 4 Закону України “Про житлово-комунальні послуги” (від 09.11.2017 № 2189-VIII);</w:t>
            </w:r>
          </w:p>
          <w:p w:rsidR="00DD5DB1" w:rsidRPr="00FF5626" w:rsidRDefault="00DD5DB1" w:rsidP="00527DF4">
            <w:pPr>
              <w:rPr>
                <w:sz w:val="19"/>
                <w:szCs w:val="19"/>
                <w:lang w:val="uk-UA"/>
              </w:rPr>
            </w:pPr>
            <w:r w:rsidRPr="000E3BB6">
              <w:rPr>
                <w:sz w:val="20"/>
                <w:szCs w:val="20"/>
                <w:lang w:val="uk-UA"/>
              </w:rPr>
              <w:t>Порядок формування тарифів на теплову енергію, її виробництво, транспортування та постачання, послуги з централізованого опалення і постачання гарячої води, затверджений постановою КМУ від 01.06.2011 № 869; постанова НКРЕКП від 24.03.2016 № 377</w:t>
            </w:r>
          </w:p>
        </w:tc>
      </w:tr>
      <w:tr w:rsidR="00DD5DB1" w:rsidRPr="00FF5626" w:rsidTr="00DD5DB1">
        <w:trPr>
          <w:trHeight w:val="418"/>
        </w:trPr>
        <w:tc>
          <w:tcPr>
            <w:tcW w:w="709" w:type="dxa"/>
          </w:tcPr>
          <w:p w:rsidR="00DD5DB1" w:rsidRPr="00FF5626" w:rsidRDefault="00DD5DB1" w:rsidP="00527DF4">
            <w:pPr>
              <w:ind w:left="-219" w:right="-250"/>
              <w:jc w:val="center"/>
              <w:rPr>
                <w:sz w:val="20"/>
                <w:szCs w:val="20"/>
                <w:lang w:val="uk-UA"/>
              </w:rPr>
            </w:pPr>
            <w:r w:rsidRPr="00FF5626">
              <w:rPr>
                <w:lang w:val="uk-UA"/>
              </w:rPr>
              <w:t>1.2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 xml:space="preserve">порядків формування тарифів на централізоване водопостачання та водовідведення, послуги з централізованого постачання холодної води, водовідведення (з використанням </w:t>
            </w:r>
            <w:proofErr w:type="spellStart"/>
            <w:r w:rsidRPr="00FF5626">
              <w:rPr>
                <w:lang w:val="uk-UA"/>
              </w:rPr>
              <w:t>внутрішньобудинкових</w:t>
            </w:r>
            <w:proofErr w:type="spellEnd"/>
            <w:r w:rsidRPr="00FF5626">
              <w:rPr>
                <w:lang w:val="uk-UA"/>
              </w:rPr>
              <w:t xml:space="preserve"> систем),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з 1 травня 2019 року - порядків формування тарифів на централізоване водопостачання та централізоване водовідведення,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 (від 24.06.2004 № 1875</w:t>
            </w:r>
            <w:r w:rsidRPr="000E3BB6">
              <w:rPr>
                <w:bCs/>
                <w:sz w:val="20"/>
                <w:szCs w:val="20"/>
                <w:lang w:val="uk-UA"/>
              </w:rPr>
              <w:t>-IV)</w:t>
            </w:r>
            <w:r w:rsidRPr="000E3BB6">
              <w:rPr>
                <w:sz w:val="20"/>
                <w:szCs w:val="20"/>
                <w:lang w:val="uk-UA"/>
              </w:rPr>
              <w:t xml:space="preserve">; абзац восьмий пункту 2 частини першої статті 6 Закону України “Про державне регулювання у сфері комунальних послуг”; пункт 4 частини першої статті 4 Закону України “Про житлово-комунальні послуги” (від 09.11.2017 № 2189-VIII); Порядки формування тарифів на централізоване водопостачання та водовідведення та на послуги з централізованого постачання холодної води, водовідведення (з використанням </w:t>
            </w:r>
            <w:proofErr w:type="spellStart"/>
            <w:r w:rsidRPr="000E3BB6">
              <w:rPr>
                <w:sz w:val="20"/>
                <w:szCs w:val="20"/>
                <w:lang w:val="uk-UA"/>
              </w:rPr>
              <w:t>внутрішньобудинкових</w:t>
            </w:r>
            <w:proofErr w:type="spellEnd"/>
            <w:r w:rsidRPr="000E3BB6">
              <w:rPr>
                <w:sz w:val="20"/>
                <w:szCs w:val="20"/>
                <w:lang w:val="uk-UA"/>
              </w:rPr>
              <w:t xml:space="preserve"> систем), затверджені постановою КМУ від 01.06.2011 № 869; постанови НКРЕКП від 10.03.2016 № 302, № 303</w:t>
            </w:r>
          </w:p>
        </w:tc>
      </w:tr>
      <w:tr w:rsidR="00DD5DB1" w:rsidRPr="00FF5626" w:rsidTr="00DD5DB1">
        <w:trPr>
          <w:trHeight w:val="20"/>
        </w:trPr>
        <w:tc>
          <w:tcPr>
            <w:tcW w:w="709" w:type="dxa"/>
          </w:tcPr>
          <w:p w:rsidR="00DD5DB1" w:rsidRPr="00FF5626" w:rsidRDefault="00DD5DB1" w:rsidP="00CE1444">
            <w:pPr>
              <w:ind w:left="-219" w:right="-250"/>
              <w:jc w:val="center"/>
              <w:rPr>
                <w:sz w:val="20"/>
                <w:szCs w:val="20"/>
                <w:lang w:val="uk-UA"/>
              </w:rPr>
            </w:pPr>
            <w:r w:rsidRPr="00FF5626">
              <w:rPr>
                <w:lang w:val="uk-UA"/>
              </w:rPr>
              <w:t>1.3</w:t>
            </w:r>
          </w:p>
        </w:tc>
        <w:tc>
          <w:tcPr>
            <w:tcW w:w="3544" w:type="dxa"/>
          </w:tcPr>
          <w:p w:rsidR="00DD5DB1" w:rsidRPr="00FF5626" w:rsidRDefault="00DD5DB1" w:rsidP="00527DF4">
            <w:pPr>
              <w:rPr>
                <w:sz w:val="20"/>
                <w:szCs w:val="20"/>
                <w:lang w:val="uk-UA"/>
              </w:rPr>
            </w:pPr>
            <w:r w:rsidRPr="00FF5626">
              <w:rPr>
                <w:lang w:val="uk-UA"/>
              </w:rPr>
              <w:t>порядку формування тарифів на послуги з утримання будинків і споруд та прибудинкових територій,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en-US"/>
              </w:rPr>
            </w:pPr>
            <w:r w:rsidRPr="000E3BB6">
              <w:rPr>
                <w:sz w:val="20"/>
                <w:szCs w:val="20"/>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послуги”(від 24.06.2004 № 1875</w:t>
            </w:r>
            <w:r w:rsidRPr="000E3BB6">
              <w:rPr>
                <w:bCs/>
                <w:sz w:val="20"/>
                <w:szCs w:val="20"/>
                <w:lang w:val="uk-UA"/>
              </w:rPr>
              <w:t>-IV)</w:t>
            </w:r>
            <w:r w:rsidRPr="000E3BB6">
              <w:rPr>
                <w:sz w:val="20"/>
                <w:szCs w:val="20"/>
                <w:lang w:val="uk-UA"/>
              </w:rPr>
              <w:t xml:space="preserve">; Порядок формування тарифів на послуги з утримання будинків і споруд та прибудинкових територій, затверджений постановою КМУ </w:t>
            </w:r>
            <w:r w:rsidRPr="000E3BB6">
              <w:rPr>
                <w:sz w:val="20"/>
                <w:szCs w:val="20"/>
                <w:lang w:val="uk-UA"/>
              </w:rPr>
              <w:lastRenderedPageBreak/>
              <w:t xml:space="preserve">від 01.06.2011 № 869; наказ </w:t>
            </w:r>
            <w:proofErr w:type="spellStart"/>
            <w:r w:rsidRPr="000E3BB6">
              <w:rPr>
                <w:sz w:val="20"/>
                <w:szCs w:val="20"/>
                <w:lang w:val="uk-UA"/>
              </w:rPr>
              <w:t>Мінрегіону</w:t>
            </w:r>
            <w:proofErr w:type="spellEnd"/>
            <w:r w:rsidRPr="000E3BB6">
              <w:rPr>
                <w:sz w:val="20"/>
                <w:szCs w:val="20"/>
                <w:lang w:val="uk-UA"/>
              </w:rPr>
              <w:t xml:space="preserve"> від 25.12.2013 № 603; наказ </w:t>
            </w:r>
            <w:proofErr w:type="spellStart"/>
            <w:r w:rsidRPr="000E3BB6">
              <w:rPr>
                <w:sz w:val="20"/>
                <w:szCs w:val="20"/>
                <w:lang w:val="uk-UA"/>
              </w:rPr>
              <w:t>Мінбуду</w:t>
            </w:r>
            <w:proofErr w:type="spellEnd"/>
            <w:r w:rsidRPr="000E3BB6">
              <w:rPr>
                <w:sz w:val="20"/>
                <w:szCs w:val="20"/>
                <w:lang w:val="uk-UA"/>
              </w:rPr>
              <w:t xml:space="preserve"> від 09.11.2006 № 369</w:t>
            </w:r>
          </w:p>
          <w:p w:rsidR="00CE1444" w:rsidRPr="000E3BB6" w:rsidRDefault="00CE1444" w:rsidP="00527DF4">
            <w:pPr>
              <w:rPr>
                <w:sz w:val="20"/>
                <w:szCs w:val="20"/>
                <w:lang w:val="en-US"/>
              </w:rPr>
            </w:pPr>
          </w:p>
          <w:p w:rsidR="00CE1444" w:rsidRPr="00CE1444" w:rsidRDefault="00CE1444" w:rsidP="00527DF4">
            <w:pPr>
              <w:rPr>
                <w:sz w:val="19"/>
                <w:szCs w:val="19"/>
                <w:lang w:val="en-US"/>
              </w:rPr>
            </w:pPr>
          </w:p>
        </w:tc>
      </w:tr>
      <w:tr w:rsidR="00DD5DB1" w:rsidRPr="00665BC4"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1.4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порядку формування тарифів на послуги з вивезення побутових відходів,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з 1 травня 2019 року -</w:t>
            </w:r>
            <w:r w:rsidR="000E3BB6">
              <w:rPr>
                <w:lang w:val="uk-UA"/>
              </w:rPr>
              <w:t xml:space="preserve"> </w:t>
            </w:r>
            <w:r w:rsidRPr="00FF5626">
              <w:rPr>
                <w:lang w:val="uk-UA"/>
              </w:rPr>
              <w:t>порядку формування тарифів на послуги з поводження з побутовими відходами,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послуги”(від 24.06.2004 № 1875</w:t>
            </w:r>
            <w:r w:rsidRPr="000E3BB6">
              <w:rPr>
                <w:bCs/>
                <w:sz w:val="20"/>
                <w:szCs w:val="20"/>
                <w:lang w:val="uk-UA"/>
              </w:rPr>
              <w:t>-IV)</w:t>
            </w:r>
            <w:r w:rsidRPr="000E3BB6">
              <w:rPr>
                <w:sz w:val="20"/>
                <w:szCs w:val="20"/>
                <w:lang w:val="uk-UA"/>
              </w:rPr>
              <w:t>; пункт 4 частини першої статті 4 Закону України “Про житлово-комунальні послуги” (від 09.11.2017 № 2189-VIII); постанова КМУ від 26.07.2006 № 1010</w:t>
            </w:r>
          </w:p>
        </w:tc>
      </w:tr>
      <w:tr w:rsidR="00DD5DB1" w:rsidRPr="00665BC4"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1.5</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порядку формування тарифів на послуги з захоронення побутових відходів,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послуги”(від 24.06.2004 № 1875</w:t>
            </w:r>
            <w:r w:rsidRPr="000E3BB6">
              <w:rPr>
                <w:bCs/>
                <w:sz w:val="20"/>
                <w:szCs w:val="20"/>
                <w:lang w:val="uk-UA"/>
              </w:rPr>
              <w:t>-IV)</w:t>
            </w:r>
            <w:r w:rsidRPr="000E3BB6">
              <w:rPr>
                <w:sz w:val="20"/>
                <w:szCs w:val="20"/>
                <w:lang w:val="uk-UA"/>
              </w:rPr>
              <w:t>; абзац восьмий пункту 2 частини першої статті 6 Закону України “Про державне регулювання у сфері комунальних послуг”; постанова НКРЕКП від 27.04.2017 № 601</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1.6</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 3 частини третьої статті 4 Закону України “Про ринок природного газу”; постанова НКРЕКП від 30.09.2015 № 2517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1.7</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та розрахунку тарифу на послуги розподілу природного газу, встановлення та застосування тарифу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 3 частини третьої статті 4 Закону України “Про ринок природного газу”; постанова НКРЕКП від 25.02.2016 № 236</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1.8</w:t>
            </w:r>
          </w:p>
        </w:tc>
        <w:tc>
          <w:tcPr>
            <w:tcW w:w="3544" w:type="dxa"/>
          </w:tcPr>
          <w:p w:rsidR="00DD5DB1" w:rsidRPr="00FF5626" w:rsidRDefault="00DD5DB1" w:rsidP="00527DF4">
            <w:pPr>
              <w:pStyle w:val="2"/>
              <w:spacing w:before="0"/>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порядку формування тарифів на транспортування природного газу розподільними трубопроводами на основі багаторічного стимулюючого регулювання,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Стаття 5 Закону України “Про природні монополії”; постанова НКРЕКП від 28.11.2013 № 1499</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1.9</w:t>
            </w:r>
          </w:p>
        </w:tc>
        <w:tc>
          <w:tcPr>
            <w:tcW w:w="3544" w:type="dxa"/>
          </w:tcPr>
          <w:p w:rsidR="00DD5DB1" w:rsidRPr="00FF5626" w:rsidRDefault="00DD5DB1" w:rsidP="00527DF4">
            <w:pPr>
              <w:pStyle w:val="2"/>
              <w:spacing w:before="0"/>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порядку формування тарифів на транспортування аміаку магістральними трубопроводами,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Стаття 5 Закону України “Про природні монополії”; постанова НКРЕКП від 18.06.2015 № 1786</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1.10</w:t>
            </w:r>
          </w:p>
        </w:tc>
        <w:tc>
          <w:tcPr>
            <w:tcW w:w="3544" w:type="dxa"/>
          </w:tcPr>
          <w:p w:rsidR="00DD5DB1" w:rsidRPr="00665BC4" w:rsidRDefault="00DD5DB1" w:rsidP="00527DF4">
            <w:pPr>
              <w:pStyle w:val="2"/>
              <w:spacing w:before="0"/>
              <w:rPr>
                <w:rFonts w:ascii="Times New Roman" w:hAnsi="Times New Roman"/>
                <w:b w:val="0"/>
                <w:color w:val="auto"/>
                <w:sz w:val="24"/>
                <w:szCs w:val="24"/>
              </w:rPr>
            </w:pPr>
            <w:r w:rsidRPr="00FF5626">
              <w:rPr>
                <w:rFonts w:ascii="Times New Roman" w:hAnsi="Times New Roman"/>
                <w:b w:val="0"/>
                <w:color w:val="auto"/>
                <w:sz w:val="24"/>
                <w:szCs w:val="24"/>
                <w:lang w:val="uk-UA"/>
              </w:rPr>
              <w:t xml:space="preserve">методики визначення та розрахунку тарифів на послуги зберігання (закачування, відбору) природного газу щодо газосховищ, до яких застосовується режим регульованого доступу, </w:t>
            </w:r>
            <w:r w:rsidRPr="00FF5626">
              <w:rPr>
                <w:rFonts w:ascii="Times New Roman" w:hAnsi="Times New Roman"/>
                <w:b w:val="0"/>
                <w:color w:val="auto"/>
                <w:sz w:val="24"/>
                <w:szCs w:val="24"/>
                <w:lang w:val="uk-UA"/>
              </w:rPr>
              <w:lastRenderedPageBreak/>
              <w:t>встановлення та застосування тарифів</w:t>
            </w:r>
          </w:p>
          <w:p w:rsidR="00CE1444" w:rsidRPr="00665BC4" w:rsidRDefault="00CE1444" w:rsidP="00CE1444"/>
          <w:p w:rsidR="00CE1444" w:rsidRPr="00665BC4" w:rsidRDefault="00CE1444" w:rsidP="00CE1444"/>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 3 частини третьої статті 4 Закону України “Про ринок природного газу”; постанова НКРЕКП від 13.06.2016 № 1131</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1.11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тарифів на електроенергію, що відпускається населенню</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Пункт7 частини третьої статті 6 Закону України “Про ринок електричної енергії”; постанова НКРЕКП від 26.02.2015 № 220</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1.12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ціни на природний газ суб’єктами ринку природного газу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Пункти 3, 7, 12, 13, 14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w:t>
            </w:r>
            <w:r w:rsidR="00613234" w:rsidRPr="000E3BB6">
              <w:rPr>
                <w:sz w:val="20"/>
                <w:szCs w:val="20"/>
                <w:lang w:val="uk-UA"/>
              </w:rPr>
              <w:t xml:space="preserve">атвердженого постановою КМУ від </w:t>
            </w:r>
            <w:r w:rsidRPr="000E3BB6">
              <w:rPr>
                <w:sz w:val="20"/>
                <w:szCs w:val="20"/>
                <w:lang w:val="uk-UA"/>
              </w:rPr>
              <w:t>19.10.2018 № 867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1.13</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Пункт 6 частини першої та пункт 2 частини третьої статті 4 Закону України “Про житлово-комунальні послуги” (від 09.11.2017 № 2189-VIII)</w:t>
            </w:r>
          </w:p>
        </w:tc>
      </w:tr>
      <w:tr w:rsidR="00DD5DB1" w:rsidRPr="00665BC4" w:rsidTr="00DD5DB1">
        <w:trPr>
          <w:trHeight w:val="20"/>
        </w:trPr>
        <w:tc>
          <w:tcPr>
            <w:tcW w:w="709" w:type="dxa"/>
          </w:tcPr>
          <w:p w:rsidR="00DD5DB1" w:rsidRPr="00FF5626" w:rsidRDefault="00DD5DB1" w:rsidP="00527DF4">
            <w:pPr>
              <w:ind w:left="-219" w:right="-250"/>
              <w:jc w:val="center"/>
              <w:rPr>
                <w:lang w:val="uk-UA"/>
              </w:rPr>
            </w:pPr>
            <w:r w:rsidRPr="00FF5626">
              <w:rPr>
                <w:lang w:val="uk-UA"/>
              </w:rPr>
              <w:t>1.14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встановлення та застосування внесків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 xml:space="preserve">Стаття 6 Закону України «Про комерційний облік теплової енергії та водопостачання», Методика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затверджена наказом </w:t>
            </w:r>
            <w:proofErr w:type="spellStart"/>
            <w:r w:rsidRPr="000E3BB6">
              <w:rPr>
                <w:sz w:val="20"/>
                <w:szCs w:val="20"/>
                <w:lang w:val="uk-UA"/>
              </w:rPr>
              <w:t>Мінрегіону</w:t>
            </w:r>
            <w:proofErr w:type="spellEnd"/>
            <w:r w:rsidRPr="000E3BB6">
              <w:rPr>
                <w:sz w:val="20"/>
                <w:szCs w:val="20"/>
                <w:lang w:val="uk-UA"/>
              </w:rPr>
              <w:t xml:space="preserve"> від 05.06.</w:t>
            </w:r>
            <w:r w:rsidR="00E45F20" w:rsidRPr="000E3BB6">
              <w:rPr>
                <w:sz w:val="20"/>
                <w:szCs w:val="20"/>
                <w:lang w:val="uk-UA"/>
              </w:rPr>
              <w:t>2</w:t>
            </w:r>
            <w:r w:rsidRPr="000E3BB6">
              <w:rPr>
                <w:sz w:val="20"/>
                <w:szCs w:val="20"/>
                <w:lang w:val="uk-UA"/>
              </w:rPr>
              <w:t>018 № 129</w:t>
            </w:r>
          </w:p>
        </w:tc>
      </w:tr>
      <w:tr w:rsidR="00DD5DB1" w:rsidRPr="00FF5626" w:rsidTr="00821778">
        <w:trPr>
          <w:trHeight w:val="20"/>
        </w:trPr>
        <w:tc>
          <w:tcPr>
            <w:tcW w:w="10207" w:type="dxa"/>
            <w:gridSpan w:val="4"/>
          </w:tcPr>
          <w:p w:rsidR="00DD5DB1" w:rsidRPr="00FF5626" w:rsidRDefault="00CE1444" w:rsidP="00CE1444">
            <w:pPr>
              <w:pStyle w:val="rvps2"/>
              <w:numPr>
                <w:ilvl w:val="1"/>
                <w:numId w:val="1"/>
              </w:numPr>
              <w:shd w:val="clear" w:color="auto" w:fill="FFFFFF"/>
              <w:spacing w:before="0" w:beforeAutospacing="0" w:after="0" w:afterAutospacing="0"/>
              <w:ind w:left="-108" w:right="-250"/>
              <w:textAlignment w:val="baseline"/>
              <w:rPr>
                <w:sz w:val="20"/>
                <w:szCs w:val="20"/>
              </w:rPr>
            </w:pPr>
            <w:r>
              <w:t xml:space="preserve">                                             2.</w:t>
            </w:r>
            <w:r w:rsidR="00DD5DB1" w:rsidRPr="00FF5626">
              <w:t>У сфері державного регулювання цін на лікарські засоби</w:t>
            </w:r>
          </w:p>
          <w:p w:rsidR="00DD5DB1" w:rsidRPr="00FF5626" w:rsidRDefault="00DD5DB1" w:rsidP="00DD5DB1">
            <w:pPr>
              <w:jc w:val="center"/>
              <w:rPr>
                <w:sz w:val="19"/>
                <w:szCs w:val="19"/>
                <w:shd w:val="clear" w:color="auto" w:fill="FFFFFF"/>
                <w:lang w:val="uk-UA"/>
              </w:rPr>
            </w:pPr>
            <w:r w:rsidRPr="00FF5626">
              <w:rPr>
                <w:lang w:val="uk-UA"/>
              </w:rPr>
              <w:t>та вироби медичного призначення</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2.1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порядку формування цін на лікарські засоби і вироби медичного призначення, щодо яких запроваджено державне регулювання</w:t>
            </w:r>
          </w:p>
        </w:tc>
        <w:tc>
          <w:tcPr>
            <w:tcW w:w="1276" w:type="dxa"/>
          </w:tcPr>
          <w:p w:rsidR="00DD5DB1" w:rsidRPr="00FF5626" w:rsidRDefault="00DD5DB1" w:rsidP="00527DF4">
            <w:pPr>
              <w:shd w:val="clear" w:color="auto" w:fill="FFFFFF"/>
              <w:ind w:left="-108" w:right="-108"/>
              <w:jc w:val="center"/>
              <w:rPr>
                <w:rStyle w:val="FontStyle23"/>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shd w:val="clear" w:color="auto" w:fill="FFFFFF"/>
                <w:lang w:val="uk-UA"/>
              </w:rPr>
            </w:pPr>
            <w:r w:rsidRPr="000E3BB6">
              <w:rPr>
                <w:sz w:val="20"/>
                <w:szCs w:val="20"/>
                <w:shd w:val="clear" w:color="auto" w:fill="FFFFFF"/>
                <w:lang w:val="uk-UA"/>
              </w:rPr>
              <w:t>Порядок формування цін на лікарські засоби і вироби медичного призначення, щодо яких запроваджено державне регулювання, затверджений постановою КМУ від 25.03.2009 № 333</w:t>
            </w:r>
          </w:p>
        </w:tc>
      </w:tr>
      <w:tr w:rsidR="00DD5DB1" w:rsidRPr="00FF5626" w:rsidTr="00DD5DB1">
        <w:trPr>
          <w:trHeight w:val="1445"/>
        </w:trPr>
        <w:tc>
          <w:tcPr>
            <w:tcW w:w="709" w:type="dxa"/>
          </w:tcPr>
          <w:p w:rsidR="00DD5DB1" w:rsidRPr="00FF5626" w:rsidRDefault="00DD5DB1" w:rsidP="00527DF4">
            <w:pPr>
              <w:ind w:left="-219" w:right="-250"/>
              <w:jc w:val="center"/>
              <w:rPr>
                <w:sz w:val="20"/>
                <w:szCs w:val="20"/>
                <w:lang w:val="uk-UA"/>
              </w:rPr>
            </w:pPr>
            <w:r w:rsidRPr="00FF5626">
              <w:rPr>
                <w:lang w:val="uk-UA"/>
              </w:rPr>
              <w:t>2.2</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t>порядку декларування зміни оптово-відпускних цін на</w:t>
            </w:r>
            <w:bookmarkStart w:id="0" w:name="n59"/>
            <w:bookmarkStart w:id="1" w:name="n7"/>
            <w:bookmarkEnd w:id="0"/>
            <w:bookmarkEnd w:id="1"/>
            <w:r w:rsidRPr="00FF5626">
              <w:t xml:space="preserve"> лікарські засоби, які закуповуються та/або вартість яких відшкодовується за бюджетні кошти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0E3BB6" w:rsidRDefault="00DD5DB1" w:rsidP="00527DF4">
            <w:pPr>
              <w:rPr>
                <w:sz w:val="20"/>
                <w:szCs w:val="20"/>
                <w:lang w:val="uk-UA"/>
              </w:rPr>
            </w:pPr>
            <w:r w:rsidRPr="000E3BB6">
              <w:rPr>
                <w:sz w:val="20"/>
                <w:szCs w:val="20"/>
                <w:lang w:val="uk-UA"/>
              </w:rPr>
              <w:t xml:space="preserve">Підпункт 1 пункту 1, пункт 3 </w:t>
            </w:r>
            <w:r w:rsidRPr="000E3BB6">
              <w:rPr>
                <w:sz w:val="20"/>
                <w:szCs w:val="20"/>
                <w:shd w:val="clear" w:color="auto" w:fill="FFFFFF"/>
                <w:lang w:val="uk-UA"/>
              </w:rPr>
              <w:t>постанови КМУ від 02.07.2014 № 240</w:t>
            </w:r>
          </w:p>
        </w:tc>
      </w:tr>
    </w:tbl>
    <w:p w:rsidR="00B240B3" w:rsidRPr="004F25C6" w:rsidRDefault="00B240B3" w:rsidP="00CE1444"/>
    <w:sectPr w:rsidR="00B240B3" w:rsidRPr="004F25C6" w:rsidSect="004179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F4112"/>
    <w:multiLevelType w:val="multilevel"/>
    <w:tmpl w:val="B4546C78"/>
    <w:lvl w:ilvl="0">
      <w:start w:val="1"/>
      <w:numFmt w:val="decimal"/>
      <w:lvlText w:val="%1"/>
      <w:lvlJc w:val="center"/>
      <w:pPr>
        <w:ind w:left="720" w:hanging="360"/>
      </w:pPr>
      <w:rPr>
        <w:rFonts w:hint="default"/>
      </w:rPr>
    </w:lvl>
    <w:lvl w:ilvl="1">
      <w:start w:val="2"/>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440" w:hanging="108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30"/>
  <w:displayHorizontalDrawingGridEvery w:val="2"/>
  <w:displayVerticalDrawingGridEvery w:val="2"/>
  <w:characterSpacingControl w:val="doNotCompress"/>
  <w:compat/>
  <w:rsids>
    <w:rsidRoot w:val="00196EAE"/>
    <w:rsid w:val="000E3BB6"/>
    <w:rsid w:val="00115792"/>
    <w:rsid w:val="001714C7"/>
    <w:rsid w:val="00196EAE"/>
    <w:rsid w:val="00261080"/>
    <w:rsid w:val="004179F1"/>
    <w:rsid w:val="00470085"/>
    <w:rsid w:val="004F25C6"/>
    <w:rsid w:val="00613234"/>
    <w:rsid w:val="00662CA7"/>
    <w:rsid w:val="00665BC4"/>
    <w:rsid w:val="00766F52"/>
    <w:rsid w:val="00824C47"/>
    <w:rsid w:val="008427D2"/>
    <w:rsid w:val="00932981"/>
    <w:rsid w:val="00A500ED"/>
    <w:rsid w:val="00A86705"/>
    <w:rsid w:val="00B240B3"/>
    <w:rsid w:val="00BF01D5"/>
    <w:rsid w:val="00C27F2B"/>
    <w:rsid w:val="00CE1444"/>
    <w:rsid w:val="00DB1134"/>
    <w:rsid w:val="00DD5DB1"/>
    <w:rsid w:val="00E45F20"/>
    <w:rsid w:val="00F30FAF"/>
    <w:rsid w:val="00FB6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3298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4C47"/>
    <w:pPr>
      <w:spacing w:before="100" w:beforeAutospacing="1" w:after="100" w:afterAutospacing="1"/>
    </w:pPr>
    <w:rPr>
      <w:lang w:val="uk-UA" w:eastAsia="uk-UA"/>
    </w:rPr>
  </w:style>
  <w:style w:type="character" w:customStyle="1" w:styleId="rvts9">
    <w:name w:val="rvts9"/>
    <w:basedOn w:val="a0"/>
    <w:rsid w:val="00824C47"/>
  </w:style>
  <w:style w:type="character" w:styleId="a3">
    <w:name w:val="Hyperlink"/>
    <w:basedOn w:val="a0"/>
    <w:uiPriority w:val="99"/>
    <w:semiHidden/>
    <w:unhideWhenUsed/>
    <w:rsid w:val="00824C47"/>
    <w:rPr>
      <w:color w:val="0000FF"/>
      <w:u w:val="single"/>
    </w:rPr>
  </w:style>
  <w:style w:type="paragraph" w:customStyle="1" w:styleId="rvps6">
    <w:name w:val="rvps6"/>
    <w:basedOn w:val="a"/>
    <w:rsid w:val="00824C47"/>
    <w:pPr>
      <w:spacing w:before="100" w:beforeAutospacing="1" w:after="100" w:afterAutospacing="1"/>
    </w:pPr>
    <w:rPr>
      <w:lang w:val="uk-UA" w:eastAsia="uk-UA"/>
    </w:rPr>
  </w:style>
  <w:style w:type="character" w:customStyle="1" w:styleId="rvts23">
    <w:name w:val="rvts23"/>
    <w:basedOn w:val="a0"/>
    <w:rsid w:val="00824C47"/>
  </w:style>
  <w:style w:type="paragraph" w:customStyle="1" w:styleId="rvps14">
    <w:name w:val="rvps14"/>
    <w:basedOn w:val="a"/>
    <w:rsid w:val="00824C47"/>
    <w:pPr>
      <w:spacing w:before="100" w:beforeAutospacing="1" w:after="100" w:afterAutospacing="1"/>
    </w:pPr>
    <w:rPr>
      <w:lang w:val="uk-UA" w:eastAsia="uk-UA"/>
    </w:rPr>
  </w:style>
  <w:style w:type="paragraph" w:styleId="HTML">
    <w:name w:val="HTML Preformatted"/>
    <w:aliases w:val="Знак"/>
    <w:basedOn w:val="a"/>
    <w:link w:val="HTML0"/>
    <w:uiPriority w:val="99"/>
    <w:unhideWhenUsed/>
    <w:rsid w:val="008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824C47"/>
    <w:rPr>
      <w:rFonts w:ascii="Courier New" w:eastAsia="Times New Roman" w:hAnsi="Courier New" w:cs="Courier New"/>
      <w:sz w:val="20"/>
      <w:szCs w:val="20"/>
      <w:lang w:val="uk-UA" w:eastAsia="uk-UA"/>
    </w:rPr>
  </w:style>
  <w:style w:type="paragraph" w:customStyle="1" w:styleId="rvps7">
    <w:name w:val="rvps7"/>
    <w:basedOn w:val="a"/>
    <w:rsid w:val="00470085"/>
    <w:pPr>
      <w:spacing w:before="100" w:beforeAutospacing="1" w:after="100" w:afterAutospacing="1"/>
    </w:pPr>
    <w:rPr>
      <w:lang w:val="uk-UA" w:eastAsia="uk-UA"/>
    </w:rPr>
  </w:style>
  <w:style w:type="paragraph" w:customStyle="1" w:styleId="rvps17">
    <w:name w:val="rvps17"/>
    <w:basedOn w:val="a"/>
    <w:rsid w:val="00470085"/>
    <w:pPr>
      <w:spacing w:before="100" w:beforeAutospacing="1" w:after="100" w:afterAutospacing="1"/>
    </w:pPr>
    <w:rPr>
      <w:lang w:val="uk-UA" w:eastAsia="uk-UA"/>
    </w:rPr>
  </w:style>
  <w:style w:type="character" w:customStyle="1" w:styleId="rvts64">
    <w:name w:val="rvts64"/>
    <w:basedOn w:val="a0"/>
    <w:rsid w:val="00470085"/>
  </w:style>
  <w:style w:type="paragraph" w:customStyle="1" w:styleId="rvps2">
    <w:name w:val="rvps2"/>
    <w:basedOn w:val="a"/>
    <w:rsid w:val="00470085"/>
    <w:pPr>
      <w:spacing w:before="100" w:beforeAutospacing="1" w:after="100" w:afterAutospacing="1"/>
    </w:pPr>
    <w:rPr>
      <w:lang w:val="uk-UA" w:eastAsia="uk-UA"/>
    </w:rPr>
  </w:style>
  <w:style w:type="character" w:customStyle="1" w:styleId="rvts52">
    <w:name w:val="rvts52"/>
    <w:basedOn w:val="a0"/>
    <w:rsid w:val="00470085"/>
  </w:style>
  <w:style w:type="character" w:customStyle="1" w:styleId="rvts37">
    <w:name w:val="rvts37"/>
    <w:basedOn w:val="a0"/>
    <w:rsid w:val="00470085"/>
  </w:style>
  <w:style w:type="paragraph" w:customStyle="1" w:styleId="rvps4">
    <w:name w:val="rvps4"/>
    <w:basedOn w:val="a"/>
    <w:rsid w:val="00470085"/>
    <w:pPr>
      <w:spacing w:before="100" w:beforeAutospacing="1" w:after="100" w:afterAutospacing="1"/>
    </w:pPr>
    <w:rPr>
      <w:lang w:val="uk-UA" w:eastAsia="uk-UA"/>
    </w:rPr>
  </w:style>
  <w:style w:type="character" w:customStyle="1" w:styleId="rvts44">
    <w:name w:val="rvts44"/>
    <w:basedOn w:val="a0"/>
    <w:rsid w:val="00470085"/>
  </w:style>
  <w:style w:type="paragraph" w:customStyle="1" w:styleId="rvps15">
    <w:name w:val="rvps15"/>
    <w:basedOn w:val="a"/>
    <w:rsid w:val="00470085"/>
    <w:pPr>
      <w:spacing w:before="100" w:beforeAutospacing="1" w:after="100" w:afterAutospacing="1"/>
    </w:pPr>
    <w:rPr>
      <w:lang w:val="uk-UA" w:eastAsia="uk-UA"/>
    </w:rPr>
  </w:style>
  <w:style w:type="paragraph" w:styleId="a4">
    <w:name w:val="Balloon Text"/>
    <w:basedOn w:val="a"/>
    <w:link w:val="a5"/>
    <w:uiPriority w:val="99"/>
    <w:semiHidden/>
    <w:unhideWhenUsed/>
    <w:rsid w:val="00766F52"/>
    <w:rPr>
      <w:rFonts w:ascii="Segoe UI" w:hAnsi="Segoe UI" w:cs="Segoe UI"/>
      <w:sz w:val="18"/>
      <w:szCs w:val="18"/>
    </w:rPr>
  </w:style>
  <w:style w:type="character" w:customStyle="1" w:styleId="a5">
    <w:name w:val="Текст выноски Знак"/>
    <w:basedOn w:val="a0"/>
    <w:link w:val="a4"/>
    <w:uiPriority w:val="99"/>
    <w:semiHidden/>
    <w:rsid w:val="00766F52"/>
    <w:rPr>
      <w:rFonts w:ascii="Segoe UI" w:hAnsi="Segoe UI" w:cs="Segoe UI"/>
      <w:sz w:val="18"/>
      <w:szCs w:val="18"/>
    </w:rPr>
  </w:style>
  <w:style w:type="character" w:customStyle="1" w:styleId="20">
    <w:name w:val="Заголовок 2 Знак"/>
    <w:basedOn w:val="a0"/>
    <w:link w:val="2"/>
    <w:uiPriority w:val="99"/>
    <w:rsid w:val="00932981"/>
    <w:rPr>
      <w:rFonts w:ascii="Cambria" w:eastAsia="Times New Roman" w:hAnsi="Cambria" w:cs="Times New Roman"/>
      <w:b/>
      <w:bCs/>
      <w:color w:val="4F81BD"/>
      <w:sz w:val="26"/>
      <w:szCs w:val="26"/>
      <w:lang w:eastAsia="ru-RU"/>
    </w:rPr>
  </w:style>
  <w:style w:type="paragraph" w:customStyle="1" w:styleId="a6">
    <w:name w:val="Нормальний текст"/>
    <w:basedOn w:val="a"/>
    <w:rsid w:val="00932981"/>
    <w:pPr>
      <w:spacing w:before="120"/>
      <w:ind w:firstLine="567"/>
    </w:pPr>
    <w:rPr>
      <w:rFonts w:ascii="Antiqua" w:hAnsi="Antiqua"/>
      <w:sz w:val="26"/>
      <w:szCs w:val="20"/>
      <w:lang w:val="uk-UA"/>
    </w:rPr>
  </w:style>
  <w:style w:type="character" w:customStyle="1" w:styleId="FontStyle23">
    <w:name w:val="Font Style23"/>
    <w:uiPriority w:val="99"/>
    <w:rsid w:val="00932981"/>
    <w:rPr>
      <w:rFonts w:ascii="Times New Roman" w:hAnsi="Times New Roman"/>
      <w:sz w:val="16"/>
    </w:rPr>
  </w:style>
  <w:style w:type="paragraph" w:styleId="a7">
    <w:name w:val="List Paragraph"/>
    <w:basedOn w:val="a"/>
    <w:uiPriority w:val="34"/>
    <w:qFormat/>
    <w:rsid w:val="00932981"/>
    <w:pPr>
      <w:ind w:left="720"/>
      <w:contextualSpacing/>
    </w:pPr>
  </w:style>
  <w:style w:type="paragraph" w:styleId="a8">
    <w:name w:val="Normal (Web)"/>
    <w:basedOn w:val="a"/>
    <w:uiPriority w:val="99"/>
    <w:unhideWhenUsed/>
    <w:rsid w:val="002610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655352">
      <w:bodyDiv w:val="1"/>
      <w:marLeft w:val="0"/>
      <w:marRight w:val="0"/>
      <w:marTop w:val="0"/>
      <w:marBottom w:val="0"/>
      <w:divBdr>
        <w:top w:val="none" w:sz="0" w:space="0" w:color="auto"/>
        <w:left w:val="none" w:sz="0" w:space="0" w:color="auto"/>
        <w:bottom w:val="none" w:sz="0" w:space="0" w:color="auto"/>
        <w:right w:val="none" w:sz="0" w:space="0" w:color="auto"/>
      </w:divBdr>
    </w:div>
    <w:div w:id="30297653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65">
          <w:marLeft w:val="0"/>
          <w:marRight w:val="0"/>
          <w:marTop w:val="0"/>
          <w:marBottom w:val="150"/>
          <w:divBdr>
            <w:top w:val="none" w:sz="0" w:space="0" w:color="auto"/>
            <w:left w:val="none" w:sz="0" w:space="0" w:color="auto"/>
            <w:bottom w:val="none" w:sz="0" w:space="0" w:color="auto"/>
            <w:right w:val="none" w:sz="0" w:space="0" w:color="auto"/>
          </w:divBdr>
        </w:div>
        <w:div w:id="1096098235">
          <w:marLeft w:val="0"/>
          <w:marRight w:val="0"/>
          <w:marTop w:val="150"/>
          <w:marBottom w:val="150"/>
          <w:divBdr>
            <w:top w:val="none" w:sz="0" w:space="0" w:color="auto"/>
            <w:left w:val="none" w:sz="0" w:space="0" w:color="auto"/>
            <w:bottom w:val="none" w:sz="0" w:space="0" w:color="auto"/>
            <w:right w:val="none" w:sz="0" w:space="0" w:color="auto"/>
          </w:divBdr>
        </w:div>
      </w:divsChild>
    </w:div>
    <w:div w:id="333918625">
      <w:bodyDiv w:val="1"/>
      <w:marLeft w:val="0"/>
      <w:marRight w:val="0"/>
      <w:marTop w:val="0"/>
      <w:marBottom w:val="0"/>
      <w:divBdr>
        <w:top w:val="none" w:sz="0" w:space="0" w:color="auto"/>
        <w:left w:val="none" w:sz="0" w:space="0" w:color="auto"/>
        <w:bottom w:val="none" w:sz="0" w:space="0" w:color="auto"/>
        <w:right w:val="none" w:sz="0" w:space="0" w:color="auto"/>
      </w:divBdr>
    </w:div>
    <w:div w:id="505675933">
      <w:bodyDiv w:val="1"/>
      <w:marLeft w:val="0"/>
      <w:marRight w:val="0"/>
      <w:marTop w:val="0"/>
      <w:marBottom w:val="0"/>
      <w:divBdr>
        <w:top w:val="none" w:sz="0" w:space="0" w:color="auto"/>
        <w:left w:val="none" w:sz="0" w:space="0" w:color="auto"/>
        <w:bottom w:val="none" w:sz="0" w:space="0" w:color="auto"/>
        <w:right w:val="none" w:sz="0" w:space="0" w:color="auto"/>
      </w:divBdr>
      <w:divsChild>
        <w:div w:id="1638416980">
          <w:marLeft w:val="0"/>
          <w:marRight w:val="0"/>
          <w:marTop w:val="0"/>
          <w:marBottom w:val="150"/>
          <w:divBdr>
            <w:top w:val="none" w:sz="0" w:space="0" w:color="auto"/>
            <w:left w:val="none" w:sz="0" w:space="0" w:color="auto"/>
            <w:bottom w:val="none" w:sz="0" w:space="0" w:color="auto"/>
            <w:right w:val="none" w:sz="0" w:space="0" w:color="auto"/>
          </w:divBdr>
        </w:div>
        <w:div w:id="471868092">
          <w:marLeft w:val="0"/>
          <w:marRight w:val="0"/>
          <w:marTop w:val="0"/>
          <w:marBottom w:val="150"/>
          <w:divBdr>
            <w:top w:val="none" w:sz="0" w:space="0" w:color="auto"/>
            <w:left w:val="none" w:sz="0" w:space="0" w:color="auto"/>
            <w:bottom w:val="none" w:sz="0" w:space="0" w:color="auto"/>
            <w:right w:val="none" w:sz="0" w:space="0" w:color="auto"/>
          </w:divBdr>
        </w:div>
      </w:divsChild>
    </w:div>
    <w:div w:id="537474828">
      <w:bodyDiv w:val="1"/>
      <w:marLeft w:val="0"/>
      <w:marRight w:val="0"/>
      <w:marTop w:val="0"/>
      <w:marBottom w:val="0"/>
      <w:divBdr>
        <w:top w:val="none" w:sz="0" w:space="0" w:color="auto"/>
        <w:left w:val="none" w:sz="0" w:space="0" w:color="auto"/>
        <w:bottom w:val="none" w:sz="0" w:space="0" w:color="auto"/>
        <w:right w:val="none" w:sz="0" w:space="0" w:color="auto"/>
      </w:divBdr>
      <w:divsChild>
        <w:div w:id="1144666580">
          <w:marLeft w:val="0"/>
          <w:marRight w:val="0"/>
          <w:marTop w:val="0"/>
          <w:marBottom w:val="150"/>
          <w:divBdr>
            <w:top w:val="none" w:sz="0" w:space="0" w:color="auto"/>
            <w:left w:val="none" w:sz="0" w:space="0" w:color="auto"/>
            <w:bottom w:val="none" w:sz="0" w:space="0" w:color="auto"/>
            <w:right w:val="none" w:sz="0" w:space="0" w:color="auto"/>
          </w:divBdr>
        </w:div>
        <w:div w:id="355934254">
          <w:marLeft w:val="0"/>
          <w:marRight w:val="0"/>
          <w:marTop w:val="0"/>
          <w:marBottom w:val="150"/>
          <w:divBdr>
            <w:top w:val="none" w:sz="0" w:space="0" w:color="auto"/>
            <w:left w:val="none" w:sz="0" w:space="0" w:color="auto"/>
            <w:bottom w:val="none" w:sz="0" w:space="0" w:color="auto"/>
            <w:right w:val="none" w:sz="0" w:space="0" w:color="auto"/>
          </w:divBdr>
        </w:div>
      </w:divsChild>
    </w:div>
    <w:div w:id="545021197">
      <w:bodyDiv w:val="1"/>
      <w:marLeft w:val="0"/>
      <w:marRight w:val="0"/>
      <w:marTop w:val="0"/>
      <w:marBottom w:val="0"/>
      <w:divBdr>
        <w:top w:val="none" w:sz="0" w:space="0" w:color="auto"/>
        <w:left w:val="none" w:sz="0" w:space="0" w:color="auto"/>
        <w:bottom w:val="none" w:sz="0" w:space="0" w:color="auto"/>
        <w:right w:val="none" w:sz="0" w:space="0" w:color="auto"/>
      </w:divBdr>
    </w:div>
    <w:div w:id="626085922">
      <w:bodyDiv w:val="1"/>
      <w:marLeft w:val="0"/>
      <w:marRight w:val="0"/>
      <w:marTop w:val="0"/>
      <w:marBottom w:val="0"/>
      <w:divBdr>
        <w:top w:val="none" w:sz="0" w:space="0" w:color="auto"/>
        <w:left w:val="none" w:sz="0" w:space="0" w:color="auto"/>
        <w:bottom w:val="none" w:sz="0" w:space="0" w:color="auto"/>
        <w:right w:val="none" w:sz="0" w:space="0" w:color="auto"/>
      </w:divBdr>
    </w:div>
    <w:div w:id="632561087">
      <w:bodyDiv w:val="1"/>
      <w:marLeft w:val="0"/>
      <w:marRight w:val="0"/>
      <w:marTop w:val="0"/>
      <w:marBottom w:val="0"/>
      <w:divBdr>
        <w:top w:val="none" w:sz="0" w:space="0" w:color="auto"/>
        <w:left w:val="none" w:sz="0" w:space="0" w:color="auto"/>
        <w:bottom w:val="none" w:sz="0" w:space="0" w:color="auto"/>
        <w:right w:val="none" w:sz="0" w:space="0" w:color="auto"/>
      </w:divBdr>
    </w:div>
    <w:div w:id="780685050">
      <w:bodyDiv w:val="1"/>
      <w:marLeft w:val="0"/>
      <w:marRight w:val="0"/>
      <w:marTop w:val="0"/>
      <w:marBottom w:val="0"/>
      <w:divBdr>
        <w:top w:val="none" w:sz="0" w:space="0" w:color="auto"/>
        <w:left w:val="none" w:sz="0" w:space="0" w:color="auto"/>
        <w:bottom w:val="none" w:sz="0" w:space="0" w:color="auto"/>
        <w:right w:val="none" w:sz="0" w:space="0" w:color="auto"/>
      </w:divBdr>
    </w:div>
    <w:div w:id="846945174">
      <w:bodyDiv w:val="1"/>
      <w:marLeft w:val="0"/>
      <w:marRight w:val="0"/>
      <w:marTop w:val="0"/>
      <w:marBottom w:val="0"/>
      <w:divBdr>
        <w:top w:val="none" w:sz="0" w:space="0" w:color="auto"/>
        <w:left w:val="none" w:sz="0" w:space="0" w:color="auto"/>
        <w:bottom w:val="none" w:sz="0" w:space="0" w:color="auto"/>
        <w:right w:val="none" w:sz="0" w:space="0" w:color="auto"/>
      </w:divBdr>
    </w:div>
    <w:div w:id="13633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4755-7836-4993-A611-69B52BA1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Master</cp:lastModifiedBy>
  <cp:revision>2</cp:revision>
  <cp:lastPrinted>2018-12-20T09:06:00Z</cp:lastPrinted>
  <dcterms:created xsi:type="dcterms:W3CDTF">2019-01-30T12:16:00Z</dcterms:created>
  <dcterms:modified xsi:type="dcterms:W3CDTF">2019-01-30T12:16:00Z</dcterms:modified>
</cp:coreProperties>
</file>